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05060" w14:textId="50E6F1B5" w:rsidR="00D71392" w:rsidRDefault="00236881">
      <w:pPr>
        <w:pStyle w:val="Heading1"/>
        <w:jc w:val="center"/>
        <w:rPr>
          <w:color w:val="0000FF"/>
        </w:rPr>
      </w:pPr>
      <w:bookmarkStart w:id="0" w:name="_GoBack"/>
      <w:bookmarkEnd w:id="0"/>
      <w:r>
        <w:rPr>
          <w:color w:val="0000FF"/>
        </w:rPr>
        <w:t xml:space="preserve"> </w:t>
      </w:r>
      <w:r w:rsidR="00F51355">
        <w:rPr>
          <w:color w:val="0000FF"/>
        </w:rPr>
        <w:t>restFul3D</w:t>
      </w:r>
    </w:p>
    <w:p w14:paraId="2E786870" w14:textId="77777777" w:rsidR="00D71392" w:rsidRDefault="00D71392"/>
    <w:p w14:paraId="298C27D5" w14:textId="1FE54318" w:rsidR="00D71392" w:rsidRDefault="00D71392" w:rsidP="00A9715E">
      <w:pPr>
        <w:pStyle w:val="Heading2"/>
        <w:spacing w:before="0" w:after="0"/>
        <w:jc w:val="center"/>
        <w:rPr>
          <w:rFonts w:ascii="Times New Roman" w:hAnsi="Times New Roman"/>
          <w:sz w:val="24"/>
        </w:rPr>
      </w:pPr>
      <w:r>
        <w:t>SUBMITTED</w:t>
      </w:r>
      <w:r w:rsidR="00A9715E">
        <w:t xml:space="preserve"> o</w:t>
      </w:r>
      <w:r>
        <w:t xml:space="preserve">n Behalf of Working Group </w:t>
      </w:r>
      <w:r w:rsidR="00F22B97">
        <w:t>27</w:t>
      </w:r>
    </w:p>
    <w:p w14:paraId="4F5E322C" w14:textId="394BB541" w:rsidR="00D71392" w:rsidRDefault="00D71392">
      <w:pPr>
        <w:jc w:val="center"/>
      </w:pPr>
      <w:r>
        <w:t>(</w:t>
      </w:r>
      <w:r w:rsidR="00F22B97" w:rsidRPr="00F22B97">
        <w:t>Web Services for DICOM</w:t>
      </w:r>
      <w:r w:rsidR="00F22B97" w:rsidRPr="00F22B97" w:rsidDel="00F22B97">
        <w:t xml:space="preserve"> </w:t>
      </w:r>
      <w:r>
        <w:t>)</w:t>
      </w:r>
    </w:p>
    <w:p w14:paraId="287547AC" w14:textId="45D303CD" w:rsidR="00A9715E" w:rsidRPr="00A9715E" w:rsidRDefault="00A9715E">
      <w:pPr>
        <w:jc w:val="center"/>
        <w:rPr>
          <w:i/>
          <w:iCs/>
        </w:rPr>
      </w:pPr>
      <w:r w:rsidRPr="00A9715E">
        <w:rPr>
          <w:i/>
          <w:iCs/>
        </w:rPr>
        <w:t>Steve Nichols, GE Healthcare</w:t>
      </w:r>
    </w:p>
    <w:p w14:paraId="6BB79F1E" w14:textId="77777777" w:rsidR="00D71392" w:rsidRDefault="00D71392">
      <w:pPr>
        <w:pStyle w:val="Heading2"/>
        <w:rPr>
          <w:sz w:val="24"/>
        </w:rPr>
      </w:pPr>
      <w:r>
        <w:rPr>
          <w:sz w:val="24"/>
        </w:rPr>
        <w:t>Introduction/Scope</w:t>
      </w:r>
    </w:p>
    <w:p w14:paraId="3953056C" w14:textId="6DEADE8A" w:rsidR="00B13D3B" w:rsidRDefault="00B13D3B" w:rsidP="00B13D3B">
      <w:pPr>
        <w:spacing w:before="240"/>
      </w:pPr>
      <w:r>
        <w:t xml:space="preserve">This work item proposes to establish </w:t>
      </w:r>
      <w:r w:rsidR="00767710">
        <w:t>DICOMweb</w:t>
      </w:r>
      <w:r w:rsidR="00767710" w:rsidRPr="00876820">
        <w:rPr>
          <w:vertAlign w:val="superscript"/>
        </w:rPr>
        <w:t>TM</w:t>
      </w:r>
      <w:r w:rsidR="00767710">
        <w:t xml:space="preserve"> </w:t>
      </w:r>
      <w:r>
        <w:t xml:space="preserve">transactions for </w:t>
      </w:r>
      <w:r w:rsidRPr="00D20FAE">
        <w:t>volumetric rendering and</w:t>
      </w:r>
      <w:r>
        <w:t xml:space="preserve"> </w:t>
      </w:r>
      <w:r w:rsidR="00767710">
        <w:t>clarifies</w:t>
      </w:r>
      <w:r w:rsidRPr="00D20FAE">
        <w:t xml:space="preserve"> behavior for rendering a Volumetric Presentation State </w:t>
      </w:r>
      <w:r w:rsidR="00967F8A">
        <w:t>i</w:t>
      </w:r>
      <w:r w:rsidRPr="00D20FAE">
        <w:t>nstance resource</w:t>
      </w:r>
      <w:r>
        <w:t xml:space="preserve">. The intent is to allow a lightweight </w:t>
      </w:r>
      <w:r w:rsidR="007B41BB">
        <w:t>client</w:t>
      </w:r>
      <w:r>
        <w:t xml:space="preserve"> (such as a zero-footprint viewer) to request volumetric rendering </w:t>
      </w:r>
      <w:r w:rsidR="005B3468">
        <w:t>of a series of images</w:t>
      </w:r>
      <w:r w:rsidR="009B73D3">
        <w:t xml:space="preserve"> </w:t>
      </w:r>
      <w:r w:rsidR="007B41BB">
        <w:t>from an endpoint (such as a</w:t>
      </w:r>
      <w:r w:rsidR="00876820">
        <w:t xml:space="preserve"> 3D post processing server)</w:t>
      </w:r>
      <w:r w:rsidR="007B41BB">
        <w:t xml:space="preserve">, </w:t>
      </w:r>
      <w:r w:rsidR="00195BC2">
        <w:t>and having</w:t>
      </w:r>
      <w:r w:rsidR="007B41BB">
        <w:t xml:space="preserve"> that endpoint </w:t>
      </w:r>
      <w:r w:rsidR="00767710">
        <w:t>respond</w:t>
      </w:r>
      <w:r w:rsidR="00195BC2">
        <w:t xml:space="preserve"> with a new volumetric image</w:t>
      </w:r>
      <w:r w:rsidR="00767710">
        <w:t xml:space="preserve"> in the form of a DICOMweb media type. </w:t>
      </w:r>
    </w:p>
    <w:p w14:paraId="3840134E" w14:textId="65B8C21C" w:rsidR="006A2ABC" w:rsidRDefault="00F47E9B" w:rsidP="00AB7617">
      <w:pPr>
        <w:spacing w:before="240"/>
      </w:pPr>
      <w:r>
        <w:t xml:space="preserve">This proposal </w:t>
      </w:r>
      <w:r w:rsidR="00905AAE">
        <w:t xml:space="preserve">also </w:t>
      </w:r>
      <w:r>
        <w:t>has</w:t>
      </w:r>
      <w:r w:rsidR="00F926EF">
        <w:t xml:space="preserve"> the</w:t>
      </w:r>
      <w:r>
        <w:t xml:space="preserve"> support </w:t>
      </w:r>
      <w:r w:rsidR="00905AAE">
        <w:t xml:space="preserve">of </w:t>
      </w:r>
      <w:r w:rsidR="009E039C">
        <w:t>several DICOM workgroups</w:t>
      </w:r>
      <w:r w:rsidR="009E039C">
        <w:rPr>
          <w:rStyle w:val="FootnoteReference"/>
        </w:rPr>
        <w:footnoteReference w:id="1"/>
      </w:r>
      <w:r w:rsidR="00195BC2">
        <w:t xml:space="preserve"> that have contributed to the use case development. It also has the support of </w:t>
      </w:r>
      <w:r w:rsidR="002E58CB">
        <w:t xml:space="preserve">the </w:t>
      </w:r>
      <w:r>
        <w:t>OHIF (Open Health Imaging Foundation)</w:t>
      </w:r>
      <w:r w:rsidR="00E04114">
        <w:t>.</w:t>
      </w:r>
    </w:p>
    <w:p w14:paraId="2756A7FB" w14:textId="77777777" w:rsidR="00D71392" w:rsidRDefault="00D71392">
      <w:pPr>
        <w:pStyle w:val="Heading2"/>
        <w:rPr>
          <w:sz w:val="24"/>
        </w:rPr>
      </w:pPr>
      <w:r>
        <w:rPr>
          <w:sz w:val="24"/>
        </w:rPr>
        <w:t>Limitations of Current Standard</w:t>
      </w:r>
    </w:p>
    <w:p w14:paraId="1AFF9989" w14:textId="4A5EC0FA" w:rsidR="00985751" w:rsidRPr="009B73D3" w:rsidRDefault="006A2ABC" w:rsidP="009B73D3">
      <w:pPr>
        <w:spacing w:before="240"/>
        <w:rPr>
          <w:color w:val="000000"/>
        </w:rPr>
      </w:pPr>
      <w:r>
        <w:t xml:space="preserve">The </w:t>
      </w:r>
      <w:r w:rsidR="002303DD">
        <w:t xml:space="preserve">current standard for rendering requests </w:t>
      </w:r>
      <w:r>
        <w:t>is</w:t>
      </w:r>
      <w:r w:rsidR="002303DD">
        <w:t xml:space="preserve"> limited to 2D </w:t>
      </w:r>
      <w:r w:rsidR="002303DD" w:rsidRPr="00191ADA">
        <w:t>requests</w:t>
      </w:r>
      <w:r w:rsidR="00191ADA" w:rsidRPr="00191ADA">
        <w:t xml:space="preserve"> for displaying existing images</w:t>
      </w:r>
      <w:r w:rsidR="00191ADA">
        <w:t>.</w:t>
      </w:r>
      <w:r w:rsidR="00905AAE" w:rsidRPr="00905AAE">
        <w:t xml:space="preserve"> </w:t>
      </w:r>
      <w:r w:rsidR="00905AAE" w:rsidRPr="00905AAE">
        <w:rPr>
          <w:color w:val="000000"/>
        </w:rPr>
        <w:t xml:space="preserve">When a zero-footprint or lightweight 2D DICOM display is complemented with volumetric rendering, it is delivered by a separate server, </w:t>
      </w:r>
      <w:r w:rsidR="00905AAE">
        <w:rPr>
          <w:color w:val="000000"/>
        </w:rPr>
        <w:t>utilizing</w:t>
      </w:r>
      <w:r w:rsidR="00905AAE" w:rsidRPr="00905AAE">
        <w:rPr>
          <w:color w:val="000000"/>
        </w:rPr>
        <w:t xml:space="preserve"> private interfaces.</w:t>
      </w:r>
      <w:r w:rsidR="009B73D3">
        <w:rPr>
          <w:color w:val="000000"/>
        </w:rPr>
        <w:t xml:space="preserve"> </w:t>
      </w:r>
    </w:p>
    <w:p w14:paraId="1046A82D" w14:textId="251876AB" w:rsidR="00905AAE" w:rsidRDefault="00905AAE" w:rsidP="009B73D3">
      <w:pPr>
        <w:spacing w:before="240"/>
      </w:pPr>
      <w:r w:rsidRPr="00D20FAE">
        <w:t>DICOM</w:t>
      </w:r>
      <w:r>
        <w:t xml:space="preserve">web </w:t>
      </w:r>
      <w:r w:rsidRPr="00D20FAE">
        <w:t xml:space="preserve">includes transactions </w:t>
      </w:r>
      <w:r>
        <w:t>intended to</w:t>
      </w:r>
      <w:r w:rsidRPr="00D20FAE">
        <w:t xml:space="preserve"> render </w:t>
      </w:r>
      <w:r w:rsidR="00BC224D">
        <w:t xml:space="preserve">a </w:t>
      </w:r>
      <w:r w:rsidRPr="00D20FAE">
        <w:t xml:space="preserve">series as common </w:t>
      </w:r>
      <w:r>
        <w:t xml:space="preserve">2D </w:t>
      </w:r>
      <w:r w:rsidRPr="00D20FAE">
        <w:t>media types</w:t>
      </w:r>
      <w:r>
        <w:t xml:space="preserve">, but not as </w:t>
      </w:r>
      <w:r w:rsidR="00BC224D">
        <w:t xml:space="preserve">a </w:t>
      </w:r>
      <w:r>
        <w:t xml:space="preserve">3D volume. </w:t>
      </w:r>
      <w:r w:rsidRPr="00D20FAE">
        <w:t>DICOM</w:t>
      </w:r>
      <w:r>
        <w:t xml:space="preserve">web also </w:t>
      </w:r>
      <w:r w:rsidRPr="00D20FAE">
        <w:t xml:space="preserve">specifies behavior for rendering a Presentation State </w:t>
      </w:r>
      <w:r>
        <w:t>i</w:t>
      </w:r>
      <w:r w:rsidRPr="00D20FAE">
        <w:t xml:space="preserve">nstance resource, however </w:t>
      </w:r>
      <w:r>
        <w:t xml:space="preserve">specific </w:t>
      </w:r>
      <w:r w:rsidRPr="00D20FAE">
        <w:t xml:space="preserve">behavior for </w:t>
      </w:r>
      <w:r>
        <w:t xml:space="preserve">rendering </w:t>
      </w:r>
      <w:r w:rsidRPr="00D20FAE">
        <w:t>Volumetric Presentation State</w:t>
      </w:r>
      <w:r>
        <w:t xml:space="preserve"> instances </w:t>
      </w:r>
      <w:r w:rsidR="00BC224D">
        <w:t xml:space="preserve">is not </w:t>
      </w:r>
      <w:r w:rsidR="00195BC2">
        <w:t>specified</w:t>
      </w:r>
      <w:r>
        <w:t>.</w:t>
      </w:r>
    </w:p>
    <w:p w14:paraId="4533C4C6" w14:textId="471283DF" w:rsidR="00905AAE" w:rsidRDefault="005B3468" w:rsidP="005B3468">
      <w:pPr>
        <w:spacing w:before="240" w:after="120"/>
        <w:rPr>
          <w:color w:val="000000"/>
        </w:rPr>
      </w:pPr>
      <w:r>
        <w:rPr>
          <w:color w:val="000000"/>
        </w:rPr>
        <w:t xml:space="preserve">Standardizing </w:t>
      </w:r>
      <w:r w:rsidRPr="005B3468">
        <w:rPr>
          <w:color w:val="000000"/>
        </w:rPr>
        <w:t xml:space="preserve">access to volumetric rendering </w:t>
      </w:r>
      <w:r>
        <w:rPr>
          <w:color w:val="000000"/>
        </w:rPr>
        <w:t>will</w:t>
      </w:r>
      <w:r w:rsidRPr="005B3468">
        <w:rPr>
          <w:color w:val="000000"/>
        </w:rPr>
        <w:t xml:space="preserve"> facilitate interoperability between origin servers capable of volumetric rendering and lightweight applications requiring access to volumetric rendering for presentation, reporting or headless processing.</w:t>
      </w:r>
    </w:p>
    <w:p w14:paraId="32BDEF65" w14:textId="77777777" w:rsidR="004C5CFB" w:rsidRDefault="004C5CFB">
      <w:pPr>
        <w:rPr>
          <w:rFonts w:ascii="Arial" w:hAnsi="Arial"/>
          <w:b/>
          <w:i/>
        </w:rPr>
      </w:pPr>
      <w:r>
        <w:br w:type="page"/>
      </w:r>
    </w:p>
    <w:p w14:paraId="2129A79A" w14:textId="06598131" w:rsidR="00D71392" w:rsidRDefault="00D71392">
      <w:pPr>
        <w:pStyle w:val="Heading2"/>
        <w:rPr>
          <w:sz w:val="24"/>
        </w:rPr>
      </w:pPr>
      <w:r>
        <w:rPr>
          <w:sz w:val="24"/>
        </w:rPr>
        <w:lastRenderedPageBreak/>
        <w:t>Description of Proposal</w:t>
      </w:r>
    </w:p>
    <w:p w14:paraId="219751EF" w14:textId="552A7610" w:rsidR="004C5CFB" w:rsidRDefault="004C5CFB" w:rsidP="009B73D3">
      <w:pPr>
        <w:spacing w:before="240"/>
        <w:rPr>
          <w:color w:val="000000"/>
        </w:rPr>
      </w:pPr>
      <w:r>
        <w:t xml:space="preserve">This proposal is intended to harmonize and extend the existing </w:t>
      </w:r>
      <w:r w:rsidR="00105C78">
        <w:t xml:space="preserve">2D rendering </w:t>
      </w:r>
      <w:r>
        <w:t xml:space="preserve">functionality by addressing volumetric data requests </w:t>
      </w:r>
      <w:r w:rsidRPr="00191ADA">
        <w:t>that creat</w:t>
      </w:r>
      <w:r>
        <w:t>e</w:t>
      </w:r>
      <w:r w:rsidRPr="00191ADA">
        <w:t xml:space="preserve"> new images </w:t>
      </w:r>
      <w:r>
        <w:t xml:space="preserve">in accordance with the principles </w:t>
      </w:r>
      <w:r w:rsidR="00105C78">
        <w:t xml:space="preserve">already established </w:t>
      </w:r>
      <w:r>
        <w:t>for Volumetric Presentation States.</w:t>
      </w:r>
      <w:r w:rsidR="008B243E">
        <w:t xml:space="preserve"> </w:t>
      </w:r>
    </w:p>
    <w:p w14:paraId="6BDBD645" w14:textId="7C62416D" w:rsidR="00D979F4" w:rsidRDefault="00D979F4" w:rsidP="00D979F4">
      <w:pPr>
        <w:spacing w:before="240"/>
      </w:pPr>
      <w:r>
        <w:t xml:space="preserve">This work item proposes an extension of the rendering functionality </w:t>
      </w:r>
      <w:r w:rsidR="00105C78">
        <w:t>within</w:t>
      </w:r>
      <w:r>
        <w:t xml:space="preserve"> DICOMweb to render and present </w:t>
      </w:r>
      <w:r w:rsidRPr="0079043A">
        <w:t>3D or 4D</w:t>
      </w:r>
      <w:r>
        <w:t xml:space="preserve"> volumetric data. These transactions will allow a user agent to retrieve a rendered volume of DICOM slice data in non-DICOM media types from an origin server capable </w:t>
      </w:r>
      <w:r w:rsidR="00A4115E">
        <w:t xml:space="preserve">of </w:t>
      </w:r>
      <w:r>
        <w:t>rendering</w:t>
      </w:r>
      <w:r w:rsidRPr="009B6F48">
        <w:t xml:space="preserve"> display algorithms, such as multi-planar reconstruction, surface rendering and volume rendering.</w:t>
      </w:r>
    </w:p>
    <w:p w14:paraId="0BABF1AF" w14:textId="28CBFF4D" w:rsidR="00C91823" w:rsidRPr="00E265AC" w:rsidRDefault="00C91823" w:rsidP="00C91823">
      <w:pPr>
        <w:spacing w:before="240"/>
      </w:pPr>
      <w:r>
        <w:t xml:space="preserve">This work item will </w:t>
      </w:r>
      <w:r w:rsidR="00105C78">
        <w:t xml:space="preserve">include specification of </w:t>
      </w:r>
      <w:r>
        <w:t xml:space="preserve"> a subset of parameters that would be provided in a GET request to </w:t>
      </w:r>
      <w:r w:rsidR="00A4115E">
        <w:t xml:space="preserve">a </w:t>
      </w:r>
      <w:r>
        <w:t xml:space="preserve">rendering server, instructing the server as to how to render the series as a volume. Parameters </w:t>
      </w:r>
      <w:r w:rsidR="00BB2533">
        <w:t xml:space="preserve">will be based on existing attributes established in the </w:t>
      </w:r>
      <w:r>
        <w:t>MPR and Volume Rendering presentation state modules.</w:t>
      </w:r>
    </w:p>
    <w:p w14:paraId="4B1E15DD" w14:textId="77777777" w:rsidR="00105C78" w:rsidRDefault="00105C78" w:rsidP="00C91823"/>
    <w:p w14:paraId="24D8927E" w14:textId="437A39A6" w:rsidR="003D5E2B" w:rsidRDefault="003D5E2B" w:rsidP="003D5E2B">
      <w:r>
        <w:t>Considerations</w:t>
      </w:r>
      <w:r w:rsidR="00021C36">
        <w:t xml:space="preserve"> include</w:t>
      </w:r>
      <w:r>
        <w:t>:</w:t>
      </w:r>
    </w:p>
    <w:p w14:paraId="5C68AC83" w14:textId="443C55EE" w:rsidR="00763E45" w:rsidRPr="00763E45" w:rsidRDefault="00763E45" w:rsidP="00905AAE">
      <w:pPr>
        <w:pStyle w:val="ListParagraph"/>
        <w:numPr>
          <w:ilvl w:val="0"/>
          <w:numId w:val="8"/>
        </w:numPr>
        <w:spacing w:before="240" w:after="120"/>
        <w:rPr>
          <w:color w:val="000000"/>
        </w:rPr>
      </w:pPr>
      <w:r w:rsidRPr="00763E45">
        <w:rPr>
          <w:color w:val="000000"/>
        </w:rPr>
        <w:t xml:space="preserve">Due to the multitude of </w:t>
      </w:r>
      <w:r w:rsidR="00191ADA">
        <w:rPr>
          <w:color w:val="000000"/>
        </w:rPr>
        <w:t>controls</w:t>
      </w:r>
      <w:r w:rsidRPr="00763E45">
        <w:rPr>
          <w:color w:val="000000"/>
        </w:rPr>
        <w:t xml:space="preserve"> established for the Volumetric Presentation state, WG-27 will need to consider </w:t>
      </w:r>
      <w:r w:rsidR="00BB2533">
        <w:rPr>
          <w:color w:val="000000"/>
        </w:rPr>
        <w:t>default</w:t>
      </w:r>
      <w:r w:rsidRPr="00763E45">
        <w:rPr>
          <w:color w:val="000000"/>
        </w:rPr>
        <w:t xml:space="preserve"> behaviors versus those that are managed through parameter. </w:t>
      </w:r>
    </w:p>
    <w:p w14:paraId="0EF092AE" w14:textId="6BC5A091" w:rsidR="00DB1FF6" w:rsidRPr="00763E45" w:rsidRDefault="00763E45" w:rsidP="00905AAE">
      <w:pPr>
        <w:pStyle w:val="ListParagraph"/>
        <w:numPr>
          <w:ilvl w:val="0"/>
          <w:numId w:val="8"/>
        </w:numPr>
      </w:pPr>
      <w:r w:rsidRPr="00763E45">
        <w:rPr>
          <w:color w:val="000000"/>
        </w:rPr>
        <w:t xml:space="preserve">Patient </w:t>
      </w:r>
      <w:r w:rsidR="00021C36">
        <w:rPr>
          <w:color w:val="000000"/>
        </w:rPr>
        <w:t>de-</w:t>
      </w:r>
      <w:r w:rsidRPr="00763E45">
        <w:rPr>
          <w:color w:val="000000"/>
        </w:rPr>
        <w:t xml:space="preserve">identification. </w:t>
      </w:r>
      <w:r w:rsidR="00021C36">
        <w:rPr>
          <w:color w:val="000000"/>
        </w:rPr>
        <w:t>Since f</w:t>
      </w:r>
      <w:r>
        <w:t>aces can be reconstructed from head and neck CT and MR scans</w:t>
      </w:r>
      <w:r w:rsidR="00021C36">
        <w:t>,</w:t>
      </w:r>
      <w:r>
        <w:t xml:space="preserve"> </w:t>
      </w:r>
      <w:r w:rsidR="00021C36">
        <w:t>i</w:t>
      </w:r>
      <w:r>
        <w:t>mplications of t</w:t>
      </w:r>
      <w:r w:rsidRPr="00763E45">
        <w:rPr>
          <w:color w:val="000000"/>
        </w:rPr>
        <w:t xml:space="preserve">he anonymize </w:t>
      </w:r>
      <w:r w:rsidRPr="00763E45">
        <w:t>parameter</w:t>
      </w:r>
      <w:r>
        <w:rPr>
          <w:rStyle w:val="FootnoteReference"/>
        </w:rPr>
        <w:footnoteReference w:id="2"/>
      </w:r>
      <w:r w:rsidRPr="00763E45">
        <w:rPr>
          <w:color w:val="000000"/>
        </w:rPr>
        <w:t xml:space="preserve"> should be considered, as de-facing</w:t>
      </w:r>
      <w:r>
        <w:rPr>
          <w:rStyle w:val="FootnoteReference"/>
          <w:color w:val="000000"/>
        </w:rPr>
        <w:footnoteReference w:id="3"/>
      </w:r>
      <w:r w:rsidRPr="00763E45">
        <w:rPr>
          <w:color w:val="000000"/>
        </w:rPr>
        <w:t xml:space="preserve"> may not be feasible or clinically practical. </w:t>
      </w:r>
    </w:p>
    <w:p w14:paraId="3A5D0562" w14:textId="7651B70B" w:rsidR="00763E45" w:rsidRPr="00021C36" w:rsidRDefault="00763E45" w:rsidP="00905AAE">
      <w:pPr>
        <w:pStyle w:val="ListParagraph"/>
        <w:numPr>
          <w:ilvl w:val="0"/>
          <w:numId w:val="8"/>
        </w:numPr>
        <w:spacing w:before="240"/>
      </w:pPr>
      <w:r w:rsidRPr="00763E45">
        <w:rPr>
          <w:color w:val="000000"/>
        </w:rPr>
        <w:t xml:space="preserve">Use case input from WG-17 considers current 3D model workflow involving Adobe 3D pdf format. Should this work item include elements of Adobe 3D, licensing will need to be considered. </w:t>
      </w:r>
    </w:p>
    <w:p w14:paraId="0B4B2163" w14:textId="1F1B5A20" w:rsidR="008B243E" w:rsidRDefault="00021C36" w:rsidP="00905AAE">
      <w:pPr>
        <w:pStyle w:val="ListParagraph"/>
        <w:numPr>
          <w:ilvl w:val="0"/>
          <w:numId w:val="8"/>
        </w:numPr>
        <w:rPr>
          <w:color w:val="000000"/>
        </w:rPr>
      </w:pPr>
      <w:r w:rsidRPr="008B243E">
        <w:rPr>
          <w:color w:val="000000"/>
        </w:rPr>
        <w:t>Use case input from WG-21 include</w:t>
      </w:r>
      <w:r w:rsidR="00A4115E">
        <w:rPr>
          <w:color w:val="000000"/>
        </w:rPr>
        <w:t>s the concept of</w:t>
      </w:r>
      <w:r w:rsidRPr="008B243E">
        <w:rPr>
          <w:color w:val="000000"/>
        </w:rPr>
        <w:t xml:space="preserve"> standardizing color lookup tables for volume rendering display. </w:t>
      </w:r>
      <w:r w:rsidR="008B243E" w:rsidRPr="008B243E">
        <w:rPr>
          <w:color w:val="000000"/>
        </w:rPr>
        <w:t xml:space="preserve">WG-27 will need to consider the application of parameters based on the Render Display Module in real-time, on-the-rly </w:t>
      </w:r>
      <w:r w:rsidR="00A4115E">
        <w:rPr>
          <w:color w:val="000000"/>
        </w:rPr>
        <w:t>volume</w:t>
      </w:r>
      <w:r w:rsidR="008B243E" w:rsidRPr="008B243E">
        <w:rPr>
          <w:color w:val="000000"/>
        </w:rPr>
        <w:t xml:space="preserve"> rendering. It is noted that color, tissue opacity and lighting may vary slightly between </w:t>
      </w:r>
      <w:r w:rsidR="008B243E">
        <w:rPr>
          <w:color w:val="000000"/>
        </w:rPr>
        <w:t>volumetric rendering origin servers.</w:t>
      </w:r>
    </w:p>
    <w:p w14:paraId="775D40AF" w14:textId="5471C2A6" w:rsidR="00BC224D" w:rsidRDefault="00BC224D" w:rsidP="00BC224D">
      <w:pPr>
        <w:rPr>
          <w:color w:val="000000"/>
        </w:rPr>
      </w:pPr>
    </w:p>
    <w:p w14:paraId="7FFEF92E" w14:textId="77777777" w:rsidR="00BC224D" w:rsidRDefault="00BC224D" w:rsidP="00BC224D">
      <w:pPr>
        <w:rPr>
          <w:sz w:val="22"/>
        </w:rPr>
      </w:pPr>
      <w:r>
        <w:rPr>
          <w:color w:val="000000"/>
        </w:rPr>
        <w:t xml:space="preserve">Note: </w:t>
      </w:r>
      <w:r>
        <w:t>The intent of this work item is not to replace Supplements 156 (P</w:t>
      </w:r>
      <w:r w:rsidRPr="00CD72F8">
        <w:t>lanar MPR Volumetric Presentation State</w:t>
      </w:r>
      <w:r>
        <w:t>) and 190 (</w:t>
      </w:r>
      <w:r w:rsidRPr="00CD72F8">
        <w:t>Volume</w:t>
      </w:r>
      <w:r>
        <w:t xml:space="preserve"> </w:t>
      </w:r>
      <w:r w:rsidRPr="00CD72F8">
        <w:t>Rendering Volumetric Presentation States</w:t>
      </w:r>
      <w:r>
        <w:t>), rather, it is intended to provide a complimentary, alternative option for real-time rendering of a series as a volume, and clarifying behaviors in for rendering an existing Volumetric Presentation state via DICOMweb.</w:t>
      </w:r>
    </w:p>
    <w:p w14:paraId="0A8D60A7" w14:textId="4040BF1D" w:rsidR="00D71392" w:rsidRDefault="00D71392">
      <w:pPr>
        <w:pStyle w:val="Heading2"/>
        <w:rPr>
          <w:sz w:val="24"/>
        </w:rPr>
      </w:pPr>
      <w:r>
        <w:rPr>
          <w:sz w:val="24"/>
        </w:rPr>
        <w:t>Parts of Standard Affected</w:t>
      </w:r>
    </w:p>
    <w:p w14:paraId="5C3A587B" w14:textId="14E21B62" w:rsidR="00D71392" w:rsidRPr="00F51355" w:rsidRDefault="00D71392" w:rsidP="00E265AC">
      <w:pPr>
        <w:spacing w:before="240" w:after="120"/>
        <w:rPr>
          <w:color w:val="000000"/>
        </w:rPr>
      </w:pPr>
      <w:r w:rsidRPr="00F51355">
        <w:rPr>
          <w:color w:val="000000"/>
        </w:rPr>
        <w:t>This work item will affect Part</w:t>
      </w:r>
      <w:r w:rsidR="000D4135" w:rsidRPr="00F51355">
        <w:rPr>
          <w:color w:val="000000"/>
        </w:rPr>
        <w:t xml:space="preserve"> 18 </w:t>
      </w:r>
      <w:r w:rsidRPr="00F51355">
        <w:rPr>
          <w:color w:val="000000"/>
        </w:rPr>
        <w:t xml:space="preserve">of the DICOM standard. </w:t>
      </w:r>
    </w:p>
    <w:p w14:paraId="7F285D29" w14:textId="784B7FD9" w:rsidR="00A91E0B" w:rsidRDefault="00A91E0B">
      <w:pPr>
        <w:rPr>
          <w:rFonts w:ascii="Arial" w:hAnsi="Arial"/>
          <w:b/>
          <w:i/>
        </w:rPr>
      </w:pPr>
    </w:p>
    <w:p w14:paraId="456147DE" w14:textId="11EE5465" w:rsidR="00D71392" w:rsidRDefault="00D71392">
      <w:pPr>
        <w:pStyle w:val="Heading2"/>
        <w:rPr>
          <w:sz w:val="24"/>
        </w:rPr>
      </w:pPr>
      <w:r>
        <w:rPr>
          <w:sz w:val="24"/>
        </w:rPr>
        <w:lastRenderedPageBreak/>
        <w:t>Resources &amp; Time Line</w:t>
      </w:r>
    </w:p>
    <w:p w14:paraId="69F7E53B" w14:textId="77777777" w:rsidR="00A4115E" w:rsidRDefault="000D4135" w:rsidP="00E265AC">
      <w:pPr>
        <w:spacing w:before="240" w:after="120"/>
        <w:rPr>
          <w:color w:val="000000"/>
        </w:rPr>
      </w:pPr>
      <w:r>
        <w:rPr>
          <w:color w:val="000000"/>
        </w:rPr>
        <w:t xml:space="preserve">About 8 people are active in Working Group 27. Steve Nichols has volunteered to </w:t>
      </w:r>
      <w:r w:rsidR="00FB1AEA">
        <w:rPr>
          <w:color w:val="000000"/>
        </w:rPr>
        <w:t>write</w:t>
      </w:r>
      <w:r>
        <w:rPr>
          <w:color w:val="000000"/>
        </w:rPr>
        <w:t xml:space="preserve"> this supplement; </w:t>
      </w:r>
      <w:r w:rsidR="00EF7CF1">
        <w:rPr>
          <w:color w:val="000000"/>
        </w:rPr>
        <w:t>Bill Wallace (AGFA) and Jonathan Whitby (</w:t>
      </w:r>
      <w:r>
        <w:rPr>
          <w:color w:val="000000"/>
        </w:rPr>
        <w:t>Vital / Canon</w:t>
      </w:r>
      <w:r w:rsidR="00EF7CF1">
        <w:rPr>
          <w:color w:val="000000"/>
        </w:rPr>
        <w:t>)</w:t>
      </w:r>
      <w:r>
        <w:rPr>
          <w:color w:val="000000"/>
        </w:rPr>
        <w:t xml:space="preserve"> will contribute to the supplement. </w:t>
      </w:r>
    </w:p>
    <w:p w14:paraId="73F61605" w14:textId="77777777" w:rsidR="00F9463C" w:rsidRDefault="00F9463C" w:rsidP="00F9463C">
      <w:pPr>
        <w:spacing w:before="240"/>
        <w:rPr>
          <w:color w:val="000000"/>
        </w:rPr>
      </w:pPr>
      <w:r>
        <w:rPr>
          <w:color w:val="000000"/>
        </w:rPr>
        <w:t>W</w:t>
      </w:r>
      <w:r w:rsidR="000D4135">
        <w:rPr>
          <w:color w:val="000000"/>
        </w:rPr>
        <w:t xml:space="preserve">ork will take </w:t>
      </w:r>
      <w:r w:rsidR="00303345">
        <w:rPr>
          <w:color w:val="000000"/>
        </w:rPr>
        <w:t>approximately 36</w:t>
      </w:r>
      <w:r w:rsidR="000D4135">
        <w:rPr>
          <w:color w:val="000000"/>
        </w:rPr>
        <w:t xml:space="preserve"> months</w:t>
      </w:r>
      <w:r w:rsidR="00EF7CF1">
        <w:rPr>
          <w:color w:val="000000"/>
        </w:rPr>
        <w:t xml:space="preserve"> based on the assumptions</w:t>
      </w:r>
      <w:r>
        <w:rPr>
          <w:color w:val="000000"/>
        </w:rPr>
        <w:t xml:space="preserve"> below. </w:t>
      </w:r>
    </w:p>
    <w:p w14:paraId="1DFE7D6E" w14:textId="27FD3A48" w:rsidR="00F9463C" w:rsidRDefault="00F9463C" w:rsidP="00F9463C">
      <w:pPr>
        <w:spacing w:after="120"/>
        <w:rPr>
          <w:color w:val="000000"/>
        </w:rPr>
      </w:pPr>
      <w:r>
        <w:rPr>
          <w:color w:val="000000"/>
        </w:rPr>
        <w:t xml:space="preserve">Note: assumptions include a </w:t>
      </w:r>
      <w:r w:rsidRPr="00F9463C">
        <w:rPr>
          <w:color w:val="000000"/>
        </w:rPr>
        <w:t>Trial Use Implementation</w:t>
      </w:r>
      <w:r>
        <w:rPr>
          <w:color w:val="000000"/>
        </w:rPr>
        <w:t>, as recomended by David Clunie.</w:t>
      </w:r>
    </w:p>
    <w:p w14:paraId="38B198C6" w14:textId="77777777" w:rsidR="00BC224D" w:rsidRDefault="00BC224D" w:rsidP="00F9463C">
      <w:pPr>
        <w:spacing w:after="120"/>
        <w:rPr>
          <w:color w:val="000000"/>
        </w:rPr>
      </w:pPr>
    </w:p>
    <w:tbl>
      <w:tblPr>
        <w:tblW w:w="10500" w:type="dxa"/>
        <w:tblLook w:val="04A0" w:firstRow="1" w:lastRow="0" w:firstColumn="1" w:lastColumn="0" w:noHBand="0" w:noVBand="1"/>
      </w:tblPr>
      <w:tblGrid>
        <w:gridCol w:w="2430"/>
        <w:gridCol w:w="1530"/>
        <w:gridCol w:w="6540"/>
      </w:tblGrid>
      <w:tr w:rsidR="00EF7CF1" w:rsidRPr="00EF7CF1" w14:paraId="348C5C78" w14:textId="77777777" w:rsidTr="00303345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6A625" w14:textId="77777777" w:rsidR="00EF7CF1" w:rsidRPr="00EF7CF1" w:rsidRDefault="00EF7CF1" w:rsidP="00EF7C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7CF1"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0B5FB" w14:textId="77777777" w:rsidR="00EF7CF1" w:rsidRPr="00EF7CF1" w:rsidRDefault="00EF7CF1" w:rsidP="003033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7CF1">
              <w:rPr>
                <w:b/>
                <w:bCs/>
                <w:color w:val="000000"/>
                <w:sz w:val="22"/>
                <w:szCs w:val="22"/>
              </w:rPr>
              <w:t>Months (est.)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21E2C" w14:textId="77777777" w:rsidR="00EF7CF1" w:rsidRPr="00EF7CF1" w:rsidRDefault="00EF7CF1" w:rsidP="00EF7C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7CF1">
              <w:rPr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EF7CF1" w:rsidRPr="00EF7CF1" w14:paraId="45120FD6" w14:textId="77777777" w:rsidTr="00303345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4434F" w14:textId="77777777" w:rsidR="00EF7CF1" w:rsidRPr="00EF7CF1" w:rsidRDefault="00EF7CF1" w:rsidP="00EF7CF1">
            <w:pPr>
              <w:rPr>
                <w:color w:val="000000"/>
                <w:sz w:val="22"/>
                <w:szCs w:val="22"/>
              </w:rPr>
            </w:pPr>
            <w:r w:rsidRPr="00EF7CF1">
              <w:rPr>
                <w:color w:val="000000"/>
                <w:sz w:val="22"/>
                <w:szCs w:val="22"/>
              </w:rPr>
              <w:t>WG-27 draft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6EDC4" w14:textId="77777777" w:rsidR="00EF7CF1" w:rsidRPr="00EF7CF1" w:rsidRDefault="00EF7CF1" w:rsidP="00303345">
            <w:pPr>
              <w:jc w:val="center"/>
              <w:rPr>
                <w:color w:val="000000"/>
                <w:sz w:val="22"/>
                <w:szCs w:val="22"/>
              </w:rPr>
            </w:pPr>
            <w:r w:rsidRPr="00EF7C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C374C" w14:textId="77777777" w:rsidR="00EF7CF1" w:rsidRPr="00EF7CF1" w:rsidRDefault="00EF7CF1" w:rsidP="00EF7C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F7CF1" w:rsidRPr="00EF7CF1" w14:paraId="6042AF96" w14:textId="77777777" w:rsidTr="00303345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66B8B" w14:textId="77777777" w:rsidR="00EF7CF1" w:rsidRPr="00EF7CF1" w:rsidRDefault="00EF7CF1" w:rsidP="00EF7CF1">
            <w:pPr>
              <w:rPr>
                <w:color w:val="000000"/>
                <w:sz w:val="22"/>
                <w:szCs w:val="22"/>
              </w:rPr>
            </w:pPr>
            <w:r w:rsidRPr="00EF7CF1">
              <w:rPr>
                <w:color w:val="000000"/>
                <w:sz w:val="22"/>
                <w:szCs w:val="22"/>
              </w:rPr>
              <w:t>WG-06 review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8956D" w14:textId="77777777" w:rsidR="00EF7CF1" w:rsidRPr="00EF7CF1" w:rsidRDefault="00EF7CF1" w:rsidP="00303345">
            <w:pPr>
              <w:jc w:val="center"/>
              <w:rPr>
                <w:color w:val="000000"/>
                <w:sz w:val="22"/>
                <w:szCs w:val="22"/>
              </w:rPr>
            </w:pPr>
            <w:r w:rsidRPr="00EF7C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95FF2" w14:textId="77777777" w:rsidR="00EF7CF1" w:rsidRPr="00EF7CF1" w:rsidRDefault="00EF7CF1" w:rsidP="00EF7C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F7CF1" w:rsidRPr="00EF7CF1" w14:paraId="3670A632" w14:textId="77777777" w:rsidTr="00303345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7042D" w14:textId="77777777" w:rsidR="00EF7CF1" w:rsidRPr="00EF7CF1" w:rsidRDefault="00EF7CF1" w:rsidP="00EF7CF1">
            <w:pPr>
              <w:rPr>
                <w:color w:val="000000"/>
                <w:sz w:val="22"/>
                <w:szCs w:val="22"/>
              </w:rPr>
            </w:pPr>
            <w:r w:rsidRPr="00EF7CF1">
              <w:rPr>
                <w:color w:val="000000"/>
                <w:sz w:val="22"/>
                <w:szCs w:val="22"/>
              </w:rPr>
              <w:t>Public Comment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827C3" w14:textId="77777777" w:rsidR="00EF7CF1" w:rsidRPr="00EF7CF1" w:rsidRDefault="00EF7CF1" w:rsidP="00303345">
            <w:pPr>
              <w:jc w:val="center"/>
              <w:rPr>
                <w:color w:val="000000"/>
                <w:sz w:val="22"/>
                <w:szCs w:val="22"/>
              </w:rPr>
            </w:pPr>
            <w:r w:rsidRPr="00EF7C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A2F97" w14:textId="77777777" w:rsidR="00EF7CF1" w:rsidRPr="00EF7CF1" w:rsidRDefault="00EF7CF1" w:rsidP="00EF7C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F7CF1" w:rsidRPr="00EF7CF1" w14:paraId="11EDB4AF" w14:textId="77777777" w:rsidTr="00303345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4AD0D" w14:textId="77777777" w:rsidR="00EF7CF1" w:rsidRPr="00EF7CF1" w:rsidRDefault="00EF7CF1" w:rsidP="00EF7CF1">
            <w:pPr>
              <w:rPr>
                <w:color w:val="000000"/>
                <w:sz w:val="22"/>
                <w:szCs w:val="22"/>
              </w:rPr>
            </w:pPr>
            <w:r w:rsidRPr="00EF7CF1">
              <w:rPr>
                <w:color w:val="000000"/>
                <w:sz w:val="22"/>
                <w:szCs w:val="22"/>
              </w:rPr>
              <w:t>Trial use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F79E1" w14:textId="77777777" w:rsidR="00EF7CF1" w:rsidRPr="00EF7CF1" w:rsidRDefault="00EF7CF1" w:rsidP="00303345">
            <w:pPr>
              <w:jc w:val="center"/>
              <w:rPr>
                <w:color w:val="000000"/>
                <w:sz w:val="22"/>
                <w:szCs w:val="22"/>
              </w:rPr>
            </w:pPr>
            <w:r w:rsidRPr="00EF7CF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38262" w14:textId="2BBD408C" w:rsidR="00EF7CF1" w:rsidRPr="00EF7CF1" w:rsidRDefault="00EF7CF1" w:rsidP="00EF7CF1">
            <w:pPr>
              <w:rPr>
                <w:color w:val="000000"/>
                <w:sz w:val="22"/>
                <w:szCs w:val="22"/>
              </w:rPr>
            </w:pPr>
            <w:r w:rsidRPr="00EF7CF1">
              <w:rPr>
                <w:color w:val="000000"/>
                <w:sz w:val="22"/>
                <w:szCs w:val="22"/>
              </w:rPr>
              <w:t xml:space="preserve">depending on adopters and </w:t>
            </w:r>
            <w:r w:rsidR="00303345" w:rsidRPr="00303345">
              <w:rPr>
                <w:color w:val="000000"/>
                <w:sz w:val="22"/>
                <w:szCs w:val="22"/>
              </w:rPr>
              <w:t>timing</w:t>
            </w:r>
            <w:r w:rsidRPr="00EF7CF1">
              <w:rPr>
                <w:color w:val="000000"/>
                <w:sz w:val="22"/>
                <w:szCs w:val="22"/>
              </w:rPr>
              <w:t xml:space="preserve"> w.r.t. Connectathon</w:t>
            </w:r>
          </w:p>
        </w:tc>
      </w:tr>
      <w:tr w:rsidR="00EF7CF1" w:rsidRPr="00EF7CF1" w14:paraId="11ED9943" w14:textId="77777777" w:rsidTr="00303345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95133" w14:textId="77777777" w:rsidR="00EF7CF1" w:rsidRPr="00EF7CF1" w:rsidRDefault="00EF7CF1" w:rsidP="00EF7CF1">
            <w:pPr>
              <w:rPr>
                <w:color w:val="000000"/>
                <w:sz w:val="22"/>
                <w:szCs w:val="22"/>
              </w:rPr>
            </w:pPr>
            <w:r w:rsidRPr="00EF7CF1">
              <w:rPr>
                <w:color w:val="000000"/>
                <w:sz w:val="22"/>
                <w:szCs w:val="22"/>
              </w:rPr>
              <w:t>Letter ballot &amp; final text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CF123" w14:textId="77777777" w:rsidR="00EF7CF1" w:rsidRPr="00EF7CF1" w:rsidRDefault="00EF7CF1" w:rsidP="00303345">
            <w:pPr>
              <w:jc w:val="center"/>
              <w:rPr>
                <w:color w:val="000000"/>
                <w:sz w:val="22"/>
                <w:szCs w:val="22"/>
              </w:rPr>
            </w:pPr>
            <w:r w:rsidRPr="00EF7CF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B9CDD" w14:textId="77777777" w:rsidR="00EF7CF1" w:rsidRPr="00EF7CF1" w:rsidRDefault="00EF7CF1" w:rsidP="00EF7C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23C139B8" w14:textId="7F7B7F10" w:rsidR="00B76ECA" w:rsidRDefault="000D4135" w:rsidP="00E265AC">
      <w:pPr>
        <w:spacing w:before="240" w:after="120"/>
        <w:rPr>
          <w:color w:val="000000"/>
        </w:rPr>
      </w:pPr>
      <w:r>
        <w:rPr>
          <w:color w:val="000000"/>
        </w:rPr>
        <w:t xml:space="preserve">Members of WG-27 anticipate that </w:t>
      </w:r>
      <w:r w:rsidR="0054550F">
        <w:rPr>
          <w:color w:val="000000"/>
        </w:rPr>
        <w:t xml:space="preserve">4 </w:t>
      </w:r>
      <w:r>
        <w:rPr>
          <w:color w:val="000000"/>
        </w:rPr>
        <w:t xml:space="preserve">hours of Working Group Six meeting time will be required on each of </w:t>
      </w:r>
      <w:r w:rsidR="00303345">
        <w:rPr>
          <w:color w:val="000000"/>
        </w:rPr>
        <w:t>nine</w:t>
      </w:r>
      <w:r>
        <w:rPr>
          <w:color w:val="000000"/>
        </w:rPr>
        <w:t xml:space="preserve"> occasions </w:t>
      </w:r>
      <w:r w:rsidR="0054550F">
        <w:rPr>
          <w:color w:val="000000"/>
        </w:rPr>
        <w:t xml:space="preserve">upon readiness of the first draft </w:t>
      </w:r>
      <w:r w:rsidR="00303345">
        <w:rPr>
          <w:color w:val="000000"/>
        </w:rPr>
        <w:t>through final text of the supplement.</w:t>
      </w:r>
    </w:p>
    <w:sectPr w:rsidR="00B76ECA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00038" w14:textId="77777777" w:rsidR="00AC0F58" w:rsidRDefault="00AC0F58" w:rsidP="006A2ABC">
      <w:r>
        <w:separator/>
      </w:r>
    </w:p>
  </w:endnote>
  <w:endnote w:type="continuationSeparator" w:id="0">
    <w:p w14:paraId="1D7A2FF1" w14:textId="77777777" w:rsidR="00AC0F58" w:rsidRDefault="00AC0F58" w:rsidP="006A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1191E" w14:textId="77777777" w:rsidR="00AC0F58" w:rsidRDefault="00AC0F58" w:rsidP="006A2ABC">
      <w:r>
        <w:separator/>
      </w:r>
    </w:p>
  </w:footnote>
  <w:footnote w:type="continuationSeparator" w:id="0">
    <w:p w14:paraId="5C0AEE12" w14:textId="77777777" w:rsidR="00AC0F58" w:rsidRDefault="00AC0F58" w:rsidP="006A2ABC">
      <w:r>
        <w:continuationSeparator/>
      </w:r>
    </w:p>
  </w:footnote>
  <w:footnote w:id="1">
    <w:p w14:paraId="4640C2B5" w14:textId="77777777" w:rsidR="009E039C" w:rsidRDefault="009E039C" w:rsidP="009E039C">
      <w:pPr>
        <w:pStyle w:val="FootnoteText"/>
      </w:pPr>
      <w:r>
        <w:rPr>
          <w:rStyle w:val="FootnoteReference"/>
        </w:rPr>
        <w:footnoteRef/>
      </w:r>
      <w:r>
        <w:t xml:space="preserve"> WG-01/WG-12 (US), WG-02 (Angio), WG-16 (MRI), WG-17 (3D), WG-21 (CT) and WG-27</w:t>
      </w:r>
    </w:p>
  </w:footnote>
  <w:footnote w:id="2">
    <w:p w14:paraId="047F9867" w14:textId="47F641DA" w:rsidR="00763E45" w:rsidRDefault="00763E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anchor="sect_9.4.1.2.1" w:history="1">
        <w:r w:rsidRPr="0047331A">
          <w:rPr>
            <w:rStyle w:val="Hyperlink"/>
          </w:rPr>
          <w:t>http://dicom.nema.org/medical/dicom/current/output/html/part18.html#sect_9.4.1.2.1</w:t>
        </w:r>
      </w:hyperlink>
      <w:r>
        <w:t xml:space="preserve"> </w:t>
      </w:r>
    </w:p>
  </w:footnote>
  <w:footnote w:id="3">
    <w:p w14:paraId="327B3224" w14:textId="52B21D50" w:rsidR="00763E45" w:rsidRDefault="00763E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BF116A">
          <w:rPr>
            <w:rStyle w:val="Hyperlink"/>
          </w:rPr>
          <w:t>https://www.ajronline.org/doi/full/10.2214/AJR.18.20452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483"/>
    <w:multiLevelType w:val="hybridMultilevel"/>
    <w:tmpl w:val="7584ECAC"/>
    <w:lvl w:ilvl="0" w:tplc="F2183E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447A"/>
    <w:multiLevelType w:val="hybridMultilevel"/>
    <w:tmpl w:val="71DE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D46D7"/>
    <w:multiLevelType w:val="hybridMultilevel"/>
    <w:tmpl w:val="C3DA2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2AC2"/>
    <w:multiLevelType w:val="singleLevel"/>
    <w:tmpl w:val="0CC64D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E029F9"/>
    <w:multiLevelType w:val="multilevel"/>
    <w:tmpl w:val="BE92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35BDA"/>
    <w:multiLevelType w:val="hybridMultilevel"/>
    <w:tmpl w:val="27DE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A7E1B"/>
    <w:multiLevelType w:val="hybridMultilevel"/>
    <w:tmpl w:val="4C62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F0A5D"/>
    <w:multiLevelType w:val="hybridMultilevel"/>
    <w:tmpl w:val="8996C9AE"/>
    <w:lvl w:ilvl="0" w:tplc="1910F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F6C5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A8B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42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EC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72A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E4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8BD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A8E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235C11"/>
    <w:multiLevelType w:val="hybridMultilevel"/>
    <w:tmpl w:val="975898A2"/>
    <w:lvl w:ilvl="0" w:tplc="F2183E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36"/>
    <w:rsid w:val="00021C36"/>
    <w:rsid w:val="00096C89"/>
    <w:rsid w:val="000D4135"/>
    <w:rsid w:val="001058EA"/>
    <w:rsid w:val="00105C78"/>
    <w:rsid w:val="001533A5"/>
    <w:rsid w:val="00191ADA"/>
    <w:rsid w:val="00195BC2"/>
    <w:rsid w:val="0021733D"/>
    <w:rsid w:val="002227CF"/>
    <w:rsid w:val="002303DD"/>
    <w:rsid w:val="00236881"/>
    <w:rsid w:val="0024208A"/>
    <w:rsid w:val="002C30BA"/>
    <w:rsid w:val="002C69F7"/>
    <w:rsid w:val="002E58CB"/>
    <w:rsid w:val="00300A0D"/>
    <w:rsid w:val="00303345"/>
    <w:rsid w:val="003C370D"/>
    <w:rsid w:val="003D53D4"/>
    <w:rsid w:val="003D5E2B"/>
    <w:rsid w:val="00400836"/>
    <w:rsid w:val="004100F3"/>
    <w:rsid w:val="0048669F"/>
    <w:rsid w:val="0049348D"/>
    <w:rsid w:val="004969A6"/>
    <w:rsid w:val="004A4E41"/>
    <w:rsid w:val="004C0CD2"/>
    <w:rsid w:val="004C5CFB"/>
    <w:rsid w:val="0054550F"/>
    <w:rsid w:val="005B3468"/>
    <w:rsid w:val="00624FBA"/>
    <w:rsid w:val="006540FA"/>
    <w:rsid w:val="006A2ABC"/>
    <w:rsid w:val="006D084B"/>
    <w:rsid w:val="006F6C29"/>
    <w:rsid w:val="0076230D"/>
    <w:rsid w:val="00763E45"/>
    <w:rsid w:val="00767710"/>
    <w:rsid w:val="00786841"/>
    <w:rsid w:val="0079043A"/>
    <w:rsid w:val="007A4EB7"/>
    <w:rsid w:val="007B41BB"/>
    <w:rsid w:val="00822D83"/>
    <w:rsid w:val="00834816"/>
    <w:rsid w:val="00876820"/>
    <w:rsid w:val="008778E4"/>
    <w:rsid w:val="00886FCD"/>
    <w:rsid w:val="008B243E"/>
    <w:rsid w:val="00905AAE"/>
    <w:rsid w:val="00967F8A"/>
    <w:rsid w:val="00985751"/>
    <w:rsid w:val="009B6F48"/>
    <w:rsid w:val="009B73D3"/>
    <w:rsid w:val="009E039C"/>
    <w:rsid w:val="00A4115E"/>
    <w:rsid w:val="00A5677E"/>
    <w:rsid w:val="00A91E0B"/>
    <w:rsid w:val="00A9715E"/>
    <w:rsid w:val="00AB6D45"/>
    <w:rsid w:val="00AB7617"/>
    <w:rsid w:val="00AC0F58"/>
    <w:rsid w:val="00AC411E"/>
    <w:rsid w:val="00B07DB4"/>
    <w:rsid w:val="00B13D3B"/>
    <w:rsid w:val="00B375B7"/>
    <w:rsid w:val="00B76ECA"/>
    <w:rsid w:val="00BB2533"/>
    <w:rsid w:val="00BC187F"/>
    <w:rsid w:val="00BC224D"/>
    <w:rsid w:val="00BD2CC9"/>
    <w:rsid w:val="00C00E15"/>
    <w:rsid w:val="00C91823"/>
    <w:rsid w:val="00CD72F8"/>
    <w:rsid w:val="00D143CD"/>
    <w:rsid w:val="00D20FAE"/>
    <w:rsid w:val="00D71392"/>
    <w:rsid w:val="00D979F4"/>
    <w:rsid w:val="00D97D36"/>
    <w:rsid w:val="00DB1FF6"/>
    <w:rsid w:val="00DD1A05"/>
    <w:rsid w:val="00DD5016"/>
    <w:rsid w:val="00DF4CE3"/>
    <w:rsid w:val="00E04114"/>
    <w:rsid w:val="00E265AC"/>
    <w:rsid w:val="00E404F7"/>
    <w:rsid w:val="00E74975"/>
    <w:rsid w:val="00E974AC"/>
    <w:rsid w:val="00EA64AE"/>
    <w:rsid w:val="00EE005F"/>
    <w:rsid w:val="00EF7CF1"/>
    <w:rsid w:val="00F22B97"/>
    <w:rsid w:val="00F47E9B"/>
    <w:rsid w:val="00F51355"/>
    <w:rsid w:val="00F57845"/>
    <w:rsid w:val="00F926EF"/>
    <w:rsid w:val="00F9463C"/>
    <w:rsid w:val="00FB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E1D67"/>
  <w15:chartTrackingRefBased/>
  <w15:docId w15:val="{EC8E92E7-DE87-40EA-8778-C78CB4C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D3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</w:pPr>
    <w:rPr>
      <w:color w:val="00000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D97D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513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35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51355"/>
  </w:style>
  <w:style w:type="paragraph" w:styleId="CommentSubject">
    <w:name w:val="annotation subject"/>
    <w:basedOn w:val="CommentText"/>
    <w:next w:val="CommentText"/>
    <w:link w:val="CommentSubjectChar"/>
    <w:rsid w:val="00F51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355"/>
    <w:rPr>
      <w:b/>
      <w:bCs/>
    </w:rPr>
  </w:style>
  <w:style w:type="paragraph" w:styleId="Revision">
    <w:name w:val="Revision"/>
    <w:hidden/>
    <w:uiPriority w:val="99"/>
    <w:semiHidden/>
    <w:rsid w:val="00F51355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C37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208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6A2AB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A2ABC"/>
  </w:style>
  <w:style w:type="character" w:styleId="FootnoteReference">
    <w:name w:val="footnote reference"/>
    <w:basedOn w:val="DefaultParagraphFont"/>
    <w:rsid w:val="006A2ABC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021C36"/>
    <w:rPr>
      <w:rFonts w:ascii="Arial" w:hAnsi="Arial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457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jronline.org/doi/full/10.2214/AJR.18.20452" TargetMode="External"/><Relationship Id="rId1" Type="http://schemas.openxmlformats.org/officeDocument/2006/relationships/hyperlink" Target="http://dicom.nema.org/medical/dicom/current/output/html/part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08A24BF07DA4D84C4DAE7E8DA25C9" ma:contentTypeVersion="12" ma:contentTypeDescription="Create a new document." ma:contentTypeScope="" ma:versionID="4fd66eead4bb6e0d16dcc5928ffc2b99">
  <xsd:schema xmlns:xsd="http://www.w3.org/2001/XMLSchema" xmlns:xs="http://www.w3.org/2001/XMLSchema" xmlns:p="http://schemas.microsoft.com/office/2006/metadata/properties" xmlns:ns2="08e62e2e-62f1-4b88-8cf1-432aab3aa58f" xmlns:ns3="486c1cc4-0cc5-42a3-a01e-b9e025673abc" targetNamespace="http://schemas.microsoft.com/office/2006/metadata/properties" ma:root="true" ma:fieldsID="a5e14a0131c40d6ae1e3f9d8864b2f5f" ns2:_="" ns3:_="">
    <xsd:import namespace="08e62e2e-62f1-4b88-8cf1-432aab3aa58f"/>
    <xsd:import namespace="486c1cc4-0cc5-42a3-a01e-b9e025673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62e2e-62f1-4b88-8cf1-432aab3aa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1cc4-0cc5-42a3-a01e-b9e025673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F1C53-20DE-4343-81D4-686967AD4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62e2e-62f1-4b88-8cf1-432aab3aa58f"/>
    <ds:schemaRef ds:uri="486c1cc4-0cc5-42a3-a01e-b9e025673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2E542-381D-4B94-90FB-6812FD582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8F74F-6E45-4AC1-975D-1F30639D1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4073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Item Proposal for Rewrite of PS 3</vt:lpstr>
    </vt:vector>
  </TitlesOfParts>
  <Company>Siemens</Company>
  <LinksUpToDate>false</LinksUpToDate>
  <CharactersWithSpaces>4781</CharactersWithSpaces>
  <SharedDoc>false</SharedDoc>
  <HLinks>
    <vt:vector size="6" baseType="variant">
      <vt:variant>
        <vt:i4>3080304</vt:i4>
      </vt:variant>
      <vt:variant>
        <vt:i4>0</vt:i4>
      </vt:variant>
      <vt:variant>
        <vt:i4>0</vt:i4>
      </vt:variant>
      <vt:variant>
        <vt:i4>5</vt:i4>
      </vt:variant>
      <vt:variant>
        <vt:lpwstr>http://medical.nema.org/dicom/handbook/Documents/Supplements/How_to_Prepare_a_Supplement.doc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Item Proposal for Rewrite of PS 3</dc:title>
  <dc:subject/>
  <dc:creator>Siemens</dc:creator>
  <cp:keywords/>
  <dc:description/>
  <cp:lastModifiedBy>Hull, Carolyn</cp:lastModifiedBy>
  <cp:revision>2</cp:revision>
  <cp:lastPrinted>2004-08-31T18:23:00Z</cp:lastPrinted>
  <dcterms:created xsi:type="dcterms:W3CDTF">2020-11-20T16:38:00Z</dcterms:created>
  <dcterms:modified xsi:type="dcterms:W3CDTF">2020-11-20T16:38:00Z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0x0101009CB08A24BF07DA4D84C4DAE7E8DA25C9</vt:lpwstr>
  </property>
</Properties>
</file>