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8FFB" w14:textId="2AB3BFD1" w:rsidR="00D71392" w:rsidRDefault="00FE0C9E" w:rsidP="00540128">
      <w:pPr>
        <w:jc w:val="center"/>
      </w:pPr>
      <w:r w:rsidRPr="00FE0C9E">
        <w:rPr>
          <w:rFonts w:ascii="Arial" w:hAnsi="Arial"/>
          <w:b/>
          <w:color w:val="0000FF"/>
          <w:kern w:val="32"/>
          <w:sz w:val="32"/>
        </w:rPr>
        <w:t xml:space="preserve">Left Atrial Appendage (LAA) Closure </w:t>
      </w:r>
      <w:r>
        <w:rPr>
          <w:rFonts w:ascii="Arial" w:hAnsi="Arial"/>
          <w:b/>
          <w:color w:val="0000FF"/>
          <w:kern w:val="32"/>
          <w:sz w:val="32"/>
        </w:rPr>
        <w:t>SR Report</w:t>
      </w:r>
    </w:p>
    <w:p w14:paraId="4B9A1FCC" w14:textId="7E3CD660" w:rsidR="0051409B" w:rsidRDefault="0051409B" w:rsidP="0051409B">
      <w:pPr>
        <w:pStyle w:val="Heading2"/>
        <w:spacing w:before="0" w:after="0"/>
        <w:jc w:val="center"/>
        <w:rPr>
          <w:rFonts w:ascii="Times New Roman" w:hAnsi="Times New Roman"/>
          <w:sz w:val="24"/>
        </w:rPr>
      </w:pPr>
      <w:r>
        <w:t>SUBMITTED on Behalf of Working Group</w:t>
      </w:r>
      <w:r w:rsidR="00523B96">
        <w:t xml:space="preserve"> </w:t>
      </w:r>
      <w:r w:rsidR="00C30A6C">
        <w:t>0</w:t>
      </w:r>
      <w:r w:rsidR="00523B96">
        <w:t>1</w:t>
      </w:r>
    </w:p>
    <w:p w14:paraId="72C2B5D7" w14:textId="2162EDC7" w:rsidR="0051409B" w:rsidRDefault="0051409B" w:rsidP="0051409B">
      <w:pPr>
        <w:jc w:val="center"/>
      </w:pPr>
      <w:r>
        <w:t>(</w:t>
      </w:r>
      <w:r w:rsidR="00541BDA" w:rsidRPr="00541BDA">
        <w:t>Cardiac and Vascular Information</w:t>
      </w:r>
      <w:r>
        <w:t>)</w:t>
      </w:r>
    </w:p>
    <w:p w14:paraId="03E321D1" w14:textId="5CA395DE" w:rsidR="0051409B" w:rsidRPr="0051409B" w:rsidRDefault="0051409B" w:rsidP="0051409B">
      <w:pPr>
        <w:jc w:val="center"/>
        <w:rPr>
          <w:i/>
          <w:iCs/>
        </w:rPr>
      </w:pPr>
      <w:r w:rsidRPr="00A9715E">
        <w:rPr>
          <w:i/>
          <w:iCs/>
        </w:rPr>
        <w:t>Steve Nichols, GE Healthcare</w:t>
      </w:r>
    </w:p>
    <w:p w14:paraId="1F0DA9CF" w14:textId="3B950BD8" w:rsidR="00D71392" w:rsidRDefault="00D71392" w:rsidP="0051409B">
      <w:pPr>
        <w:pStyle w:val="Heading2"/>
        <w:rPr>
          <w:sz w:val="24"/>
        </w:rPr>
      </w:pPr>
      <w:r>
        <w:rPr>
          <w:sz w:val="24"/>
        </w:rPr>
        <w:t>Introduction/Scope</w:t>
      </w:r>
    </w:p>
    <w:p w14:paraId="6C8E2BFA" w14:textId="23B1083E" w:rsidR="00B51526" w:rsidRPr="00D03DFA" w:rsidRDefault="00B51526" w:rsidP="003F51B0">
      <w:pPr>
        <w:spacing w:after="120"/>
        <w:rPr>
          <w:color w:val="000000"/>
          <w:szCs w:val="24"/>
        </w:rPr>
      </w:pPr>
      <w:r w:rsidRPr="00082557">
        <w:rPr>
          <w:color w:val="000000"/>
          <w:szCs w:val="24"/>
        </w:rPr>
        <w:t>Left A</w:t>
      </w:r>
      <w:r w:rsidR="006703A7" w:rsidRPr="00082557">
        <w:rPr>
          <w:color w:val="000000"/>
          <w:szCs w:val="24"/>
        </w:rPr>
        <w:t xml:space="preserve">trial Appendage </w:t>
      </w:r>
      <w:r w:rsidR="00631334" w:rsidRPr="00082557">
        <w:rPr>
          <w:color w:val="000000"/>
          <w:szCs w:val="24"/>
        </w:rPr>
        <w:t xml:space="preserve">(LAA) </w:t>
      </w:r>
      <w:r w:rsidR="006703A7" w:rsidRPr="00082557">
        <w:rPr>
          <w:color w:val="000000"/>
          <w:szCs w:val="24"/>
        </w:rPr>
        <w:t xml:space="preserve">Closure </w:t>
      </w:r>
      <w:r w:rsidR="00421C3E" w:rsidRPr="00082557">
        <w:rPr>
          <w:color w:val="000000"/>
          <w:szCs w:val="24"/>
        </w:rPr>
        <w:t xml:space="preserve">(a.k.a. </w:t>
      </w:r>
      <w:r w:rsidR="00576B00" w:rsidRPr="00082557">
        <w:rPr>
          <w:bCs/>
          <w:szCs w:val="24"/>
        </w:rPr>
        <w:t xml:space="preserve">Left Atrial Appendage Occlusion) </w:t>
      </w:r>
      <w:r w:rsidR="006703A7" w:rsidRPr="00D03DFA">
        <w:rPr>
          <w:color w:val="000000"/>
          <w:szCs w:val="24"/>
        </w:rPr>
        <w:t>is a preventative procedure to occlude the left atrial a</w:t>
      </w:r>
      <w:r w:rsidR="009D40B0" w:rsidRPr="00D03DFA">
        <w:rPr>
          <w:color w:val="000000"/>
          <w:szCs w:val="24"/>
        </w:rPr>
        <w:t>pp</w:t>
      </w:r>
      <w:r w:rsidR="006703A7" w:rsidRPr="00D03DFA">
        <w:rPr>
          <w:color w:val="000000"/>
          <w:szCs w:val="24"/>
        </w:rPr>
        <w:t xml:space="preserve">endage </w:t>
      </w:r>
      <w:r w:rsidR="006C5E13" w:rsidRPr="00D03DFA">
        <w:rPr>
          <w:color w:val="000000"/>
          <w:szCs w:val="24"/>
        </w:rPr>
        <w:t xml:space="preserve">in patients with atrial fibrillation </w:t>
      </w:r>
      <w:r w:rsidR="006703A7" w:rsidRPr="00D03DFA">
        <w:rPr>
          <w:color w:val="000000"/>
          <w:szCs w:val="24"/>
        </w:rPr>
        <w:t xml:space="preserve">to reduce the </w:t>
      </w:r>
      <w:r w:rsidR="005D3B38" w:rsidRPr="00D03DFA">
        <w:rPr>
          <w:color w:val="000000"/>
          <w:szCs w:val="24"/>
        </w:rPr>
        <w:t>risk</w:t>
      </w:r>
      <w:r w:rsidR="009D40B0" w:rsidRPr="00D03DFA">
        <w:rPr>
          <w:color w:val="000000"/>
          <w:szCs w:val="24"/>
        </w:rPr>
        <w:t xml:space="preserve"> of stroke.</w:t>
      </w:r>
    </w:p>
    <w:p w14:paraId="1D6DD0A5" w14:textId="31968F36" w:rsidR="00A27B89" w:rsidRDefault="00A27B89" w:rsidP="00D03DFA">
      <w:pPr>
        <w:rPr>
          <w:color w:val="000000"/>
          <w:szCs w:val="24"/>
        </w:rPr>
      </w:pPr>
      <w:r>
        <w:rPr>
          <w:color w:val="000000"/>
          <w:szCs w:val="24"/>
        </w:rPr>
        <w:t>LAA periprocedural imaging</w:t>
      </w:r>
      <w:r>
        <w:rPr>
          <w:color w:val="000000"/>
          <w:szCs w:val="24"/>
        </w:rPr>
        <w:t xml:space="preserve"> includes:</w:t>
      </w:r>
    </w:p>
    <w:p w14:paraId="7800E50D" w14:textId="2EC08040" w:rsidR="00A27B89" w:rsidRDefault="00A27B89" w:rsidP="00A27B89">
      <w:pPr>
        <w:pStyle w:val="ListParagraph"/>
        <w:numPr>
          <w:ilvl w:val="0"/>
          <w:numId w:val="6"/>
        </w:numPr>
        <w:rPr>
          <w:color w:val="000000"/>
          <w:szCs w:val="24"/>
        </w:rPr>
      </w:pPr>
      <w:r>
        <w:rPr>
          <w:color w:val="000000"/>
          <w:szCs w:val="24"/>
        </w:rPr>
        <w:t>anatomic measurements</w:t>
      </w:r>
      <w:r w:rsidRPr="00D03DFA">
        <w:rPr>
          <w:color w:val="000000"/>
          <w:szCs w:val="24"/>
        </w:rPr>
        <w:t xml:space="preserve"> and occlusion device sizing</w:t>
      </w:r>
      <w:r>
        <w:rPr>
          <w:color w:val="000000"/>
          <w:szCs w:val="24"/>
        </w:rPr>
        <w:t xml:space="preserve"> with </w:t>
      </w:r>
      <w:r w:rsidRPr="00D03DFA">
        <w:rPr>
          <w:color w:val="000000"/>
          <w:szCs w:val="24"/>
        </w:rPr>
        <w:t>gated cardiac computed tomographic angiography</w:t>
      </w:r>
      <w:r>
        <w:rPr>
          <w:color w:val="000000"/>
          <w:szCs w:val="24"/>
        </w:rPr>
        <w:t>, or transesophageal echocardiography</w:t>
      </w:r>
      <w:r w:rsidRPr="00D03DFA">
        <w:rPr>
          <w:color w:val="000000"/>
          <w:szCs w:val="24"/>
        </w:rPr>
        <w:t xml:space="preserve"> </w:t>
      </w:r>
      <w:r>
        <w:rPr>
          <w:color w:val="000000"/>
          <w:szCs w:val="24"/>
        </w:rPr>
        <w:t>(TEE)</w:t>
      </w:r>
      <w:r>
        <w:rPr>
          <w:color w:val="000000"/>
          <w:szCs w:val="24"/>
        </w:rPr>
        <w:t xml:space="preserve">, </w:t>
      </w:r>
    </w:p>
    <w:p w14:paraId="66F31285" w14:textId="70701D70" w:rsidR="00A27B89" w:rsidRDefault="00A27B89" w:rsidP="00A27B89">
      <w:pPr>
        <w:pStyle w:val="ListParagraph"/>
        <w:numPr>
          <w:ilvl w:val="0"/>
          <w:numId w:val="6"/>
        </w:numPr>
        <w:rPr>
          <w:color w:val="000000"/>
          <w:szCs w:val="24"/>
        </w:rPr>
      </w:pPr>
      <w:r>
        <w:rPr>
          <w:color w:val="000000"/>
          <w:szCs w:val="24"/>
        </w:rPr>
        <w:t>i</w:t>
      </w:r>
      <w:r w:rsidRPr="003B745B">
        <w:rPr>
          <w:color w:val="000000"/>
          <w:szCs w:val="24"/>
        </w:rPr>
        <w:t>ntraprocedural</w:t>
      </w:r>
      <w:r>
        <w:rPr>
          <w:color w:val="000000"/>
          <w:szCs w:val="24"/>
        </w:rPr>
        <w:t xml:space="preserve"> guidance &amp; assessment</w:t>
      </w:r>
      <w:r>
        <w:rPr>
          <w:color w:val="000000"/>
          <w:szCs w:val="24"/>
        </w:rPr>
        <w:t xml:space="preserve"> with x</w:t>
      </w:r>
      <w:r w:rsidRPr="00A27B89">
        <w:rPr>
          <w:color w:val="000000"/>
          <w:szCs w:val="24"/>
        </w:rPr>
        <w:t>-</w:t>
      </w:r>
      <w:r>
        <w:rPr>
          <w:color w:val="000000"/>
          <w:szCs w:val="24"/>
        </w:rPr>
        <w:t>r</w:t>
      </w:r>
      <w:r w:rsidRPr="00A27B89">
        <w:rPr>
          <w:color w:val="000000"/>
          <w:szCs w:val="24"/>
        </w:rPr>
        <w:t xml:space="preserve">ay </w:t>
      </w:r>
      <w:r>
        <w:rPr>
          <w:color w:val="000000"/>
          <w:szCs w:val="24"/>
        </w:rPr>
        <w:t>a</w:t>
      </w:r>
      <w:r w:rsidRPr="00A27B89">
        <w:rPr>
          <w:color w:val="000000"/>
          <w:szCs w:val="24"/>
        </w:rPr>
        <w:t>ngiography</w:t>
      </w:r>
      <w:r>
        <w:rPr>
          <w:color w:val="000000"/>
          <w:szCs w:val="24"/>
        </w:rPr>
        <w:t xml:space="preserve"> and TEE (or alternatively, </w:t>
      </w:r>
      <w:r>
        <w:rPr>
          <w:color w:val="000000"/>
          <w:szCs w:val="24"/>
        </w:rPr>
        <w:t>i</w:t>
      </w:r>
      <w:r w:rsidRPr="00270CD6">
        <w:rPr>
          <w:color w:val="000000"/>
          <w:szCs w:val="24"/>
        </w:rPr>
        <w:t>ntracardiac</w:t>
      </w:r>
      <w:r>
        <w:rPr>
          <w:color w:val="000000"/>
          <w:szCs w:val="24"/>
        </w:rPr>
        <w:t xml:space="preserve"> </w:t>
      </w:r>
      <w:r>
        <w:rPr>
          <w:color w:val="000000"/>
          <w:szCs w:val="24"/>
        </w:rPr>
        <w:t>echocardiography</w:t>
      </w:r>
      <w:r>
        <w:rPr>
          <w:color w:val="000000"/>
          <w:szCs w:val="24"/>
        </w:rPr>
        <w:t xml:space="preserve"> (ICE)), and</w:t>
      </w:r>
    </w:p>
    <w:p w14:paraId="2C573866" w14:textId="684499F4" w:rsidR="00A27B89" w:rsidRDefault="00A27B89" w:rsidP="00A27B89">
      <w:pPr>
        <w:pStyle w:val="ListParagraph"/>
        <w:numPr>
          <w:ilvl w:val="0"/>
          <w:numId w:val="6"/>
        </w:numPr>
        <w:rPr>
          <w:color w:val="000000"/>
          <w:szCs w:val="24"/>
        </w:rPr>
      </w:pPr>
      <w:r>
        <w:rPr>
          <w:color w:val="000000"/>
          <w:szCs w:val="24"/>
        </w:rPr>
        <w:t>follow-up imaging with TEE or t</w:t>
      </w:r>
      <w:r>
        <w:rPr>
          <w:color w:val="000000"/>
          <w:szCs w:val="24"/>
        </w:rPr>
        <w:t>ransthoracic</w:t>
      </w:r>
      <w:r>
        <w:rPr>
          <w:color w:val="000000"/>
          <w:szCs w:val="24"/>
        </w:rPr>
        <w:t xml:space="preserve"> </w:t>
      </w:r>
      <w:r>
        <w:rPr>
          <w:color w:val="000000"/>
          <w:szCs w:val="24"/>
        </w:rPr>
        <w:t>echocardiography</w:t>
      </w:r>
      <w:r>
        <w:rPr>
          <w:color w:val="000000"/>
          <w:szCs w:val="24"/>
        </w:rPr>
        <w:t>.</w:t>
      </w:r>
    </w:p>
    <w:p w14:paraId="603ED31A" w14:textId="77777777" w:rsidR="00FF26F8" w:rsidRDefault="00FF26F8" w:rsidP="00D03DFA">
      <w:pPr>
        <w:rPr>
          <w:color w:val="000000"/>
          <w:szCs w:val="24"/>
        </w:rPr>
      </w:pPr>
    </w:p>
    <w:tbl>
      <w:tblPr>
        <w:tblStyle w:val="TableGrid"/>
        <w:tblW w:w="0" w:type="auto"/>
        <w:tblInd w:w="715" w:type="dxa"/>
        <w:tblLook w:val="04A0" w:firstRow="1" w:lastRow="0" w:firstColumn="1" w:lastColumn="0" w:noHBand="0" w:noVBand="1"/>
      </w:tblPr>
      <w:tblGrid>
        <w:gridCol w:w="2700"/>
        <w:gridCol w:w="2218"/>
        <w:gridCol w:w="2218"/>
        <w:gridCol w:w="2219"/>
      </w:tblGrid>
      <w:tr w:rsidR="00FF26F8" w14:paraId="32E1AACF" w14:textId="77777777" w:rsidTr="0039248C">
        <w:tc>
          <w:tcPr>
            <w:tcW w:w="2700" w:type="dxa"/>
          </w:tcPr>
          <w:p w14:paraId="57338DA7" w14:textId="77777777" w:rsidR="00FF26F8" w:rsidRPr="005C7966" w:rsidRDefault="00FF26F8" w:rsidP="00D03DFA">
            <w:pPr>
              <w:rPr>
                <w:color w:val="000000"/>
                <w:sz w:val="20"/>
              </w:rPr>
            </w:pPr>
          </w:p>
        </w:tc>
        <w:tc>
          <w:tcPr>
            <w:tcW w:w="2218" w:type="dxa"/>
            <w:vAlign w:val="center"/>
          </w:tcPr>
          <w:p w14:paraId="6FCE3108" w14:textId="0816CFC7" w:rsidR="00FF26F8" w:rsidRPr="005C7966" w:rsidRDefault="004D16C3" w:rsidP="0013066C">
            <w:pPr>
              <w:jc w:val="center"/>
              <w:rPr>
                <w:b/>
                <w:bCs/>
                <w:color w:val="000000"/>
                <w:sz w:val="20"/>
              </w:rPr>
            </w:pPr>
            <w:r w:rsidRPr="005C7966">
              <w:rPr>
                <w:b/>
                <w:bCs/>
                <w:color w:val="000000"/>
                <w:sz w:val="20"/>
              </w:rPr>
              <w:t>Computed Tomography</w:t>
            </w:r>
          </w:p>
        </w:tc>
        <w:tc>
          <w:tcPr>
            <w:tcW w:w="2218" w:type="dxa"/>
            <w:vAlign w:val="center"/>
          </w:tcPr>
          <w:p w14:paraId="543BF94A" w14:textId="4085CA78" w:rsidR="00FF26F8" w:rsidRPr="005C7966" w:rsidRDefault="00FF26F8" w:rsidP="0013066C">
            <w:pPr>
              <w:jc w:val="center"/>
              <w:rPr>
                <w:b/>
                <w:bCs/>
                <w:color w:val="000000"/>
                <w:sz w:val="20"/>
              </w:rPr>
            </w:pPr>
            <w:r w:rsidRPr="005C7966">
              <w:rPr>
                <w:b/>
                <w:bCs/>
                <w:color w:val="000000"/>
                <w:sz w:val="20"/>
              </w:rPr>
              <w:t>Ultrasound</w:t>
            </w:r>
          </w:p>
        </w:tc>
        <w:tc>
          <w:tcPr>
            <w:tcW w:w="2219" w:type="dxa"/>
            <w:vAlign w:val="center"/>
          </w:tcPr>
          <w:p w14:paraId="1BD76F9D" w14:textId="6A006FE9" w:rsidR="00FF26F8" w:rsidRPr="005C7966" w:rsidRDefault="00FF26F8" w:rsidP="0013066C">
            <w:pPr>
              <w:jc w:val="center"/>
              <w:rPr>
                <w:b/>
                <w:bCs/>
                <w:color w:val="000000"/>
                <w:sz w:val="20"/>
              </w:rPr>
            </w:pPr>
            <w:r w:rsidRPr="005C7966">
              <w:rPr>
                <w:b/>
                <w:bCs/>
                <w:color w:val="000000"/>
                <w:sz w:val="20"/>
              </w:rPr>
              <w:t>Fluoroscopy</w:t>
            </w:r>
          </w:p>
        </w:tc>
      </w:tr>
      <w:tr w:rsidR="00FF26F8" w14:paraId="22525BB4" w14:textId="77777777" w:rsidTr="0039248C">
        <w:tc>
          <w:tcPr>
            <w:tcW w:w="2700" w:type="dxa"/>
          </w:tcPr>
          <w:p w14:paraId="166299B3" w14:textId="6908BA3F" w:rsidR="00FF26F8" w:rsidRPr="005C7966" w:rsidRDefault="00FF26F8" w:rsidP="00D03DFA">
            <w:pPr>
              <w:rPr>
                <w:color w:val="000000"/>
                <w:sz w:val="20"/>
              </w:rPr>
            </w:pPr>
            <w:r w:rsidRPr="005C7966">
              <w:rPr>
                <w:color w:val="000000"/>
                <w:sz w:val="20"/>
              </w:rPr>
              <w:t>Pre-operative LAA assessment</w:t>
            </w:r>
          </w:p>
        </w:tc>
        <w:tc>
          <w:tcPr>
            <w:tcW w:w="2218" w:type="dxa"/>
            <w:vAlign w:val="center"/>
          </w:tcPr>
          <w:p w14:paraId="5FAF1AFA" w14:textId="6ABBE848" w:rsidR="00FF26F8" w:rsidRPr="005C7966" w:rsidRDefault="004D16C3" w:rsidP="0013066C">
            <w:pPr>
              <w:jc w:val="center"/>
              <w:rPr>
                <w:color w:val="000000"/>
                <w:sz w:val="20"/>
              </w:rPr>
            </w:pPr>
            <w:r w:rsidRPr="005C7966">
              <w:rPr>
                <w:color w:val="000000"/>
                <w:sz w:val="20"/>
              </w:rPr>
              <w:t>Cardiac CTA</w:t>
            </w:r>
          </w:p>
        </w:tc>
        <w:tc>
          <w:tcPr>
            <w:tcW w:w="2218" w:type="dxa"/>
            <w:vAlign w:val="center"/>
          </w:tcPr>
          <w:p w14:paraId="5BAAD670" w14:textId="3637082A" w:rsidR="00FF26F8" w:rsidRPr="005C7966" w:rsidRDefault="00270CD6" w:rsidP="0013066C">
            <w:pPr>
              <w:jc w:val="center"/>
              <w:rPr>
                <w:color w:val="000000"/>
                <w:sz w:val="20"/>
              </w:rPr>
            </w:pPr>
            <w:r w:rsidRPr="005C7966">
              <w:rPr>
                <w:color w:val="000000"/>
                <w:sz w:val="20"/>
              </w:rPr>
              <w:t xml:space="preserve"> (or) </w:t>
            </w:r>
            <w:r w:rsidR="0013066C" w:rsidRPr="005C7966">
              <w:rPr>
                <w:color w:val="000000"/>
                <w:sz w:val="20"/>
              </w:rPr>
              <w:t>2D</w:t>
            </w:r>
            <w:r w:rsidRPr="005C7966">
              <w:rPr>
                <w:color w:val="000000"/>
                <w:sz w:val="20"/>
              </w:rPr>
              <w:t xml:space="preserve"> or </w:t>
            </w:r>
            <w:r w:rsidR="0013066C" w:rsidRPr="005C7966">
              <w:rPr>
                <w:color w:val="000000"/>
                <w:sz w:val="20"/>
              </w:rPr>
              <w:t xml:space="preserve">3D </w:t>
            </w:r>
            <w:r w:rsidR="004D16C3" w:rsidRPr="005C7966">
              <w:rPr>
                <w:color w:val="000000"/>
                <w:sz w:val="20"/>
              </w:rPr>
              <w:t>TEE</w:t>
            </w:r>
          </w:p>
        </w:tc>
        <w:tc>
          <w:tcPr>
            <w:tcW w:w="2219" w:type="dxa"/>
            <w:vAlign w:val="center"/>
          </w:tcPr>
          <w:p w14:paraId="43F17CED" w14:textId="77777777" w:rsidR="00FF26F8" w:rsidRPr="005C7966" w:rsidRDefault="00FF26F8" w:rsidP="0013066C">
            <w:pPr>
              <w:jc w:val="center"/>
              <w:rPr>
                <w:color w:val="000000"/>
                <w:sz w:val="20"/>
              </w:rPr>
            </w:pPr>
          </w:p>
        </w:tc>
      </w:tr>
      <w:tr w:rsidR="00FF26F8" w14:paraId="5EAEB6F7" w14:textId="77777777" w:rsidTr="0039248C">
        <w:tc>
          <w:tcPr>
            <w:tcW w:w="2700" w:type="dxa"/>
          </w:tcPr>
          <w:p w14:paraId="4C94C66E" w14:textId="406A62B8" w:rsidR="00FF26F8" w:rsidRPr="005C7966" w:rsidRDefault="003B745B" w:rsidP="00D03DFA">
            <w:pPr>
              <w:rPr>
                <w:color w:val="000000"/>
                <w:sz w:val="20"/>
              </w:rPr>
            </w:pPr>
            <w:r w:rsidRPr="005C7966">
              <w:rPr>
                <w:color w:val="000000"/>
                <w:sz w:val="20"/>
              </w:rPr>
              <w:t>I</w:t>
            </w:r>
            <w:r w:rsidRPr="005C7966">
              <w:rPr>
                <w:color w:val="000000"/>
                <w:sz w:val="20"/>
              </w:rPr>
              <w:t>ntraprocedural</w:t>
            </w:r>
            <w:r w:rsidRPr="005C7966">
              <w:rPr>
                <w:color w:val="000000"/>
                <w:sz w:val="20"/>
              </w:rPr>
              <w:t xml:space="preserve"> </w:t>
            </w:r>
            <w:r w:rsidR="0013066C" w:rsidRPr="005C7966">
              <w:rPr>
                <w:color w:val="000000"/>
                <w:sz w:val="20"/>
              </w:rPr>
              <w:t>guidance &amp; assessment</w:t>
            </w:r>
          </w:p>
        </w:tc>
        <w:tc>
          <w:tcPr>
            <w:tcW w:w="2218" w:type="dxa"/>
            <w:vAlign w:val="center"/>
          </w:tcPr>
          <w:p w14:paraId="028D5317" w14:textId="77777777" w:rsidR="00FF26F8" w:rsidRPr="005C7966" w:rsidRDefault="00FF26F8" w:rsidP="0013066C">
            <w:pPr>
              <w:jc w:val="center"/>
              <w:rPr>
                <w:color w:val="000000"/>
                <w:sz w:val="20"/>
              </w:rPr>
            </w:pPr>
          </w:p>
        </w:tc>
        <w:tc>
          <w:tcPr>
            <w:tcW w:w="2218" w:type="dxa"/>
            <w:vAlign w:val="center"/>
          </w:tcPr>
          <w:p w14:paraId="02B946C4" w14:textId="7949B709" w:rsidR="00FF26F8" w:rsidRPr="005C7966" w:rsidRDefault="004D16C3" w:rsidP="0013066C">
            <w:pPr>
              <w:jc w:val="center"/>
              <w:rPr>
                <w:color w:val="000000"/>
                <w:sz w:val="20"/>
              </w:rPr>
            </w:pPr>
            <w:r w:rsidRPr="005C7966">
              <w:rPr>
                <w:color w:val="000000"/>
                <w:sz w:val="20"/>
              </w:rPr>
              <w:t>TEE</w:t>
            </w:r>
            <w:r w:rsidR="00270CD6" w:rsidRPr="005C7966">
              <w:rPr>
                <w:color w:val="000000"/>
                <w:sz w:val="20"/>
              </w:rPr>
              <w:t xml:space="preserve"> or </w:t>
            </w:r>
            <w:r w:rsidRPr="005C7966">
              <w:rPr>
                <w:color w:val="000000"/>
                <w:sz w:val="20"/>
              </w:rPr>
              <w:t>ICE</w:t>
            </w:r>
          </w:p>
        </w:tc>
        <w:tc>
          <w:tcPr>
            <w:tcW w:w="2219" w:type="dxa"/>
            <w:vAlign w:val="center"/>
          </w:tcPr>
          <w:p w14:paraId="18DC8388" w14:textId="71794D33" w:rsidR="00FF26F8" w:rsidRPr="005C7966" w:rsidRDefault="00270CD6" w:rsidP="0013066C">
            <w:pPr>
              <w:jc w:val="center"/>
              <w:rPr>
                <w:color w:val="000000"/>
                <w:sz w:val="20"/>
              </w:rPr>
            </w:pPr>
            <w:r w:rsidRPr="005C7966">
              <w:rPr>
                <w:color w:val="000000"/>
                <w:sz w:val="20"/>
              </w:rPr>
              <w:t xml:space="preserve"> (and) </w:t>
            </w:r>
            <w:r w:rsidR="004D16C3" w:rsidRPr="005C7966">
              <w:rPr>
                <w:color w:val="000000"/>
                <w:sz w:val="20"/>
              </w:rPr>
              <w:t>XA</w:t>
            </w:r>
          </w:p>
        </w:tc>
      </w:tr>
      <w:tr w:rsidR="00FF26F8" w14:paraId="73A33B78" w14:textId="77777777" w:rsidTr="0039248C">
        <w:tc>
          <w:tcPr>
            <w:tcW w:w="2700" w:type="dxa"/>
          </w:tcPr>
          <w:p w14:paraId="6FAE0DA5" w14:textId="53DDCCE1" w:rsidR="00FF26F8" w:rsidRPr="005C7966" w:rsidRDefault="003B745B" w:rsidP="00D03DFA">
            <w:pPr>
              <w:rPr>
                <w:color w:val="000000"/>
                <w:sz w:val="20"/>
              </w:rPr>
            </w:pPr>
            <w:r w:rsidRPr="005C7966">
              <w:rPr>
                <w:color w:val="000000"/>
                <w:sz w:val="20"/>
              </w:rPr>
              <w:t>Follow-up</w:t>
            </w:r>
          </w:p>
        </w:tc>
        <w:tc>
          <w:tcPr>
            <w:tcW w:w="2218" w:type="dxa"/>
            <w:vAlign w:val="center"/>
          </w:tcPr>
          <w:p w14:paraId="034E5A7F" w14:textId="77777777" w:rsidR="00FF26F8" w:rsidRPr="005C7966" w:rsidRDefault="00FF26F8" w:rsidP="0013066C">
            <w:pPr>
              <w:jc w:val="center"/>
              <w:rPr>
                <w:color w:val="000000"/>
                <w:sz w:val="20"/>
              </w:rPr>
            </w:pPr>
          </w:p>
        </w:tc>
        <w:tc>
          <w:tcPr>
            <w:tcW w:w="2218" w:type="dxa"/>
            <w:vAlign w:val="center"/>
          </w:tcPr>
          <w:p w14:paraId="6FF26ECF" w14:textId="5D03D522" w:rsidR="00FF26F8" w:rsidRPr="005C7966" w:rsidRDefault="0013066C" w:rsidP="0013066C">
            <w:pPr>
              <w:jc w:val="center"/>
              <w:rPr>
                <w:color w:val="000000"/>
                <w:sz w:val="20"/>
              </w:rPr>
            </w:pPr>
            <w:r w:rsidRPr="005C7966">
              <w:rPr>
                <w:color w:val="000000"/>
                <w:sz w:val="20"/>
              </w:rPr>
              <w:t>Transthoracic</w:t>
            </w:r>
            <w:r w:rsidR="00270CD6" w:rsidRPr="005C7966">
              <w:rPr>
                <w:color w:val="000000"/>
                <w:sz w:val="20"/>
              </w:rPr>
              <w:t xml:space="preserve"> or </w:t>
            </w:r>
            <w:r w:rsidRPr="005C7966">
              <w:rPr>
                <w:color w:val="000000"/>
                <w:sz w:val="20"/>
              </w:rPr>
              <w:t>TEE</w:t>
            </w:r>
          </w:p>
        </w:tc>
        <w:tc>
          <w:tcPr>
            <w:tcW w:w="2219" w:type="dxa"/>
            <w:vAlign w:val="center"/>
          </w:tcPr>
          <w:p w14:paraId="4291EFA4" w14:textId="77777777" w:rsidR="00FF26F8" w:rsidRPr="005C7966" w:rsidRDefault="00FF26F8" w:rsidP="0013066C">
            <w:pPr>
              <w:jc w:val="center"/>
              <w:rPr>
                <w:color w:val="000000"/>
                <w:sz w:val="20"/>
              </w:rPr>
            </w:pPr>
          </w:p>
        </w:tc>
      </w:tr>
    </w:tbl>
    <w:p w14:paraId="2029EE91" w14:textId="40BFDD25" w:rsidR="00915AE8" w:rsidRDefault="0039248C" w:rsidP="00D45068">
      <w:pPr>
        <w:spacing w:before="120" w:after="120"/>
        <w:rPr>
          <w:color w:val="000000"/>
          <w:szCs w:val="24"/>
          <w:u w:val="single"/>
        </w:rPr>
      </w:pPr>
      <w:r w:rsidRPr="0039248C">
        <w:rPr>
          <w:color w:val="000000"/>
          <w:szCs w:val="24"/>
          <w:u w:val="single"/>
        </w:rPr>
        <w:t>Pre-operative</w:t>
      </w:r>
      <w:r w:rsidRPr="0039248C">
        <w:rPr>
          <w:color w:val="000000"/>
          <w:szCs w:val="24"/>
          <w:u w:val="single"/>
        </w:rPr>
        <w:t xml:space="preserve"> assessment</w:t>
      </w:r>
    </w:p>
    <w:p w14:paraId="5D5949CD" w14:textId="5976AFC1" w:rsidR="0039248C" w:rsidRPr="00D03DFA" w:rsidRDefault="00D45068" w:rsidP="0039248C">
      <w:pPr>
        <w:spacing w:after="120"/>
        <w:ind w:left="720"/>
        <w:rPr>
          <w:color w:val="000000"/>
          <w:szCs w:val="24"/>
        </w:rPr>
      </w:pPr>
      <w:r w:rsidRPr="00D03DFA">
        <w:rPr>
          <w:szCs w:val="24"/>
        </w:rPr>
        <w:t>LAA circumference, diameter and length measurements</w:t>
      </w:r>
      <w:r w:rsidRPr="00D03DFA">
        <w:rPr>
          <w:color w:val="000000"/>
          <w:szCs w:val="24"/>
        </w:rPr>
        <w:t xml:space="preserve"> can be assessed using </w:t>
      </w:r>
      <w:r>
        <w:rPr>
          <w:color w:val="000000"/>
          <w:szCs w:val="24"/>
        </w:rPr>
        <w:t xml:space="preserve">CTA </w:t>
      </w:r>
      <w:r w:rsidRPr="00D03DFA">
        <w:rPr>
          <w:color w:val="000000"/>
          <w:szCs w:val="24"/>
        </w:rPr>
        <w:t>t</w:t>
      </w:r>
      <w:r w:rsidRPr="00D03DFA">
        <w:rPr>
          <w:szCs w:val="24"/>
        </w:rPr>
        <w:t>hree-dimensional TEE multiplanar reconstruction</w:t>
      </w:r>
      <w:r>
        <w:rPr>
          <w:szCs w:val="24"/>
        </w:rPr>
        <w:t>.</w:t>
      </w:r>
      <w:r>
        <w:rPr>
          <w:szCs w:val="24"/>
        </w:rPr>
        <w:t xml:space="preserve"> Alternatively, l</w:t>
      </w:r>
      <w:r w:rsidR="0039248C" w:rsidRPr="00D03DFA">
        <w:rPr>
          <w:color w:val="000000"/>
          <w:szCs w:val="24"/>
        </w:rPr>
        <w:t>inear measurements of the LAA ostium length and width are acquired at 0, 45, 90 and 135 scan planes using 2D TEE</w:t>
      </w:r>
      <w:r>
        <w:rPr>
          <w:color w:val="000000"/>
          <w:szCs w:val="24"/>
        </w:rPr>
        <w:t xml:space="preserve">. </w:t>
      </w:r>
    </w:p>
    <w:p w14:paraId="55CB1B76" w14:textId="6325991C" w:rsidR="0039248C" w:rsidRPr="0039248C" w:rsidRDefault="0039248C" w:rsidP="00D45068">
      <w:pPr>
        <w:spacing w:before="120" w:after="120"/>
        <w:rPr>
          <w:color w:val="000000"/>
          <w:szCs w:val="24"/>
          <w:u w:val="single"/>
        </w:rPr>
      </w:pPr>
      <w:r w:rsidRPr="0039248C">
        <w:rPr>
          <w:color w:val="000000"/>
          <w:szCs w:val="24"/>
          <w:u w:val="single"/>
        </w:rPr>
        <w:t>Intraprocedural guidance &amp; assessment</w:t>
      </w:r>
    </w:p>
    <w:p w14:paraId="7FC64918" w14:textId="6BE9680A" w:rsidR="00741741" w:rsidRPr="00D03DFA" w:rsidRDefault="009373BC" w:rsidP="0039248C">
      <w:pPr>
        <w:ind w:left="720"/>
        <w:rPr>
          <w:color w:val="000000"/>
          <w:szCs w:val="24"/>
        </w:rPr>
      </w:pPr>
      <w:r w:rsidRPr="00D03DFA">
        <w:rPr>
          <w:color w:val="000000"/>
          <w:szCs w:val="24"/>
        </w:rPr>
        <w:t xml:space="preserve">The occlusion device is deployed via peripheral venous catheter </w:t>
      </w:r>
      <w:r w:rsidR="00853A09" w:rsidRPr="00D03DFA">
        <w:rPr>
          <w:color w:val="000000"/>
          <w:szCs w:val="24"/>
        </w:rPr>
        <w:t>under fluoroscopic and TEE guidance</w:t>
      </w:r>
      <w:r w:rsidR="001519B8" w:rsidRPr="00D03DFA">
        <w:rPr>
          <w:color w:val="000000"/>
          <w:szCs w:val="24"/>
        </w:rPr>
        <w:t>.</w:t>
      </w:r>
      <w:r w:rsidR="00853A09" w:rsidRPr="00D03DFA">
        <w:rPr>
          <w:color w:val="000000"/>
          <w:szCs w:val="24"/>
        </w:rPr>
        <w:t xml:space="preserve"> </w:t>
      </w:r>
      <w:r w:rsidR="001519B8" w:rsidRPr="00D03DFA">
        <w:rPr>
          <w:color w:val="000000"/>
          <w:szCs w:val="24"/>
        </w:rPr>
        <w:t xml:space="preserve">TEE is </w:t>
      </w:r>
      <w:r w:rsidR="00915AE8" w:rsidRPr="00D03DFA">
        <w:rPr>
          <w:color w:val="000000"/>
          <w:szCs w:val="24"/>
        </w:rPr>
        <w:t xml:space="preserve">used </w:t>
      </w:r>
      <w:r w:rsidR="00741741" w:rsidRPr="00D03DFA">
        <w:rPr>
          <w:color w:val="000000"/>
          <w:szCs w:val="24"/>
        </w:rPr>
        <w:t xml:space="preserve">to determine that the </w:t>
      </w:r>
      <w:r w:rsidR="00915AE8" w:rsidRPr="00D03DFA">
        <w:rPr>
          <w:color w:val="000000"/>
          <w:szCs w:val="24"/>
        </w:rPr>
        <w:t xml:space="preserve">the four ‘‘PASS’’ criteria (position, anchor, size, and seal) </w:t>
      </w:r>
      <w:r w:rsidR="00741741" w:rsidRPr="00D03DFA">
        <w:rPr>
          <w:color w:val="000000"/>
          <w:szCs w:val="24"/>
        </w:rPr>
        <w:t>are met.</w:t>
      </w:r>
    </w:p>
    <w:p w14:paraId="164D0209" w14:textId="77777777" w:rsidR="00741741" w:rsidRPr="00D03DFA" w:rsidRDefault="00741741" w:rsidP="0039248C">
      <w:pPr>
        <w:ind w:left="720"/>
        <w:rPr>
          <w:szCs w:val="24"/>
          <w:highlight w:val="yellow"/>
        </w:rPr>
      </w:pPr>
    </w:p>
    <w:p w14:paraId="160E59C0" w14:textId="43F19FBB" w:rsidR="008739C7" w:rsidRPr="00D03DFA" w:rsidRDefault="00D514B8" w:rsidP="0039248C">
      <w:pPr>
        <w:spacing w:after="120"/>
        <w:ind w:left="720"/>
        <w:rPr>
          <w:szCs w:val="24"/>
        </w:rPr>
      </w:pPr>
      <w:r w:rsidRPr="00D03DFA">
        <w:rPr>
          <w:szCs w:val="24"/>
        </w:rPr>
        <w:t xml:space="preserve">Before device release, </w:t>
      </w:r>
      <w:r w:rsidR="008739C7" w:rsidRPr="00D03DFA">
        <w:rPr>
          <w:szCs w:val="24"/>
        </w:rPr>
        <w:t xml:space="preserve">one of the criteria to be assessed is </w:t>
      </w:r>
      <w:r w:rsidRPr="00D03DFA">
        <w:rPr>
          <w:szCs w:val="24"/>
        </w:rPr>
        <w:t xml:space="preserve">the </w:t>
      </w:r>
      <w:r w:rsidR="008739C7" w:rsidRPr="00D03DFA">
        <w:rPr>
          <w:szCs w:val="24"/>
        </w:rPr>
        <w:t>device compression. The device shoulder is measured by 2D TEE at 0, 45, 90, and 135 and the device compression is calculated as ratio of the device shoulder to the original device size.</w:t>
      </w:r>
    </w:p>
    <w:p w14:paraId="034E97F4" w14:textId="48C90443" w:rsidR="0039248C" w:rsidRDefault="0039248C" w:rsidP="00D45068">
      <w:pPr>
        <w:spacing w:before="120" w:after="120"/>
        <w:rPr>
          <w:color w:val="000000"/>
          <w:szCs w:val="24"/>
          <w:u w:val="single"/>
        </w:rPr>
      </w:pPr>
      <w:r w:rsidRPr="0039248C">
        <w:rPr>
          <w:color w:val="000000"/>
          <w:szCs w:val="24"/>
          <w:u w:val="single"/>
        </w:rPr>
        <w:t>Follow-up</w:t>
      </w:r>
    </w:p>
    <w:p w14:paraId="62B55807" w14:textId="261006CD" w:rsidR="0039248C" w:rsidRPr="0039248C" w:rsidRDefault="00152EC5" w:rsidP="0039248C">
      <w:pPr>
        <w:spacing w:after="120"/>
        <w:ind w:left="720"/>
        <w:rPr>
          <w:color w:val="000000"/>
          <w:szCs w:val="24"/>
        </w:rPr>
      </w:pPr>
      <w:r w:rsidRPr="00152EC5">
        <w:rPr>
          <w:color w:val="000000"/>
          <w:szCs w:val="24"/>
        </w:rPr>
        <w:t>Transthoracic or TEE</w:t>
      </w:r>
      <w:r w:rsidRPr="00152EC5">
        <w:rPr>
          <w:color w:val="000000"/>
          <w:szCs w:val="24"/>
        </w:rPr>
        <w:t xml:space="preserve"> </w:t>
      </w:r>
      <w:r>
        <w:rPr>
          <w:color w:val="000000"/>
          <w:szCs w:val="24"/>
        </w:rPr>
        <w:t xml:space="preserve">is used to </w:t>
      </w:r>
      <w:r w:rsidR="0039248C" w:rsidRPr="0039248C">
        <w:rPr>
          <w:color w:val="000000"/>
          <w:szCs w:val="24"/>
        </w:rPr>
        <w:t xml:space="preserve">evaluate </w:t>
      </w:r>
      <w:r>
        <w:rPr>
          <w:color w:val="000000"/>
          <w:szCs w:val="24"/>
        </w:rPr>
        <w:t>device position</w:t>
      </w:r>
      <w:r w:rsidR="0039248C" w:rsidRPr="0039248C">
        <w:rPr>
          <w:color w:val="000000"/>
          <w:szCs w:val="24"/>
        </w:rPr>
        <w:t>,</w:t>
      </w:r>
      <w:r>
        <w:rPr>
          <w:color w:val="000000"/>
          <w:szCs w:val="24"/>
        </w:rPr>
        <w:t xml:space="preserve"> </w:t>
      </w:r>
      <w:r w:rsidR="0039248C" w:rsidRPr="0039248C">
        <w:rPr>
          <w:color w:val="000000"/>
          <w:szCs w:val="24"/>
        </w:rPr>
        <w:t>embolization, device-related thrombus,</w:t>
      </w:r>
      <w:r>
        <w:rPr>
          <w:color w:val="000000"/>
          <w:szCs w:val="24"/>
        </w:rPr>
        <w:t xml:space="preserve"> </w:t>
      </w:r>
      <w:r w:rsidR="0039248C" w:rsidRPr="0039248C">
        <w:rPr>
          <w:color w:val="000000"/>
          <w:szCs w:val="24"/>
        </w:rPr>
        <w:t>patency, and pericardial</w:t>
      </w:r>
      <w:r>
        <w:rPr>
          <w:color w:val="000000"/>
          <w:szCs w:val="24"/>
        </w:rPr>
        <w:t xml:space="preserve"> </w:t>
      </w:r>
      <w:r w:rsidR="0039248C" w:rsidRPr="0039248C">
        <w:rPr>
          <w:color w:val="000000"/>
          <w:szCs w:val="24"/>
        </w:rPr>
        <w:t>effusion</w:t>
      </w:r>
      <w:r>
        <w:rPr>
          <w:color w:val="000000"/>
          <w:szCs w:val="24"/>
        </w:rPr>
        <w:t>.</w:t>
      </w:r>
    </w:p>
    <w:p w14:paraId="41C29F29" w14:textId="67CB74D9" w:rsidR="009F4252" w:rsidRPr="00D03DFA" w:rsidRDefault="009F4252" w:rsidP="003F51B0">
      <w:pPr>
        <w:spacing w:after="120"/>
        <w:rPr>
          <w:color w:val="000000"/>
          <w:szCs w:val="24"/>
        </w:rPr>
      </w:pPr>
      <w:r w:rsidRPr="00D03DFA">
        <w:rPr>
          <w:color w:val="000000"/>
          <w:szCs w:val="24"/>
        </w:rPr>
        <w:t>References</w:t>
      </w:r>
      <w:r w:rsidR="000816DD" w:rsidRPr="00D03DFA">
        <w:rPr>
          <w:color w:val="000000"/>
          <w:szCs w:val="24"/>
        </w:rPr>
        <w:t>:</w:t>
      </w:r>
    </w:p>
    <w:p w14:paraId="29C1CB79" w14:textId="290DCC01" w:rsidR="00152EC5" w:rsidRPr="00BC310B" w:rsidRDefault="00152EC5" w:rsidP="00BC310B">
      <w:pPr>
        <w:pStyle w:val="ListParagraph"/>
        <w:numPr>
          <w:ilvl w:val="0"/>
          <w:numId w:val="7"/>
        </w:numPr>
        <w:spacing w:after="120"/>
        <w:rPr>
          <w:color w:val="000000"/>
          <w:sz w:val="22"/>
          <w:szCs w:val="22"/>
        </w:rPr>
      </w:pPr>
      <w:hyperlink r:id="rId8" w:history="1">
        <w:r w:rsidRPr="00BC310B">
          <w:rPr>
            <w:rStyle w:val="Hyperlink"/>
            <w:sz w:val="22"/>
            <w:szCs w:val="22"/>
          </w:rPr>
          <w:t>Periprocedural Imaging for</w:t>
        </w:r>
        <w:r w:rsidRPr="00BC310B">
          <w:rPr>
            <w:rStyle w:val="Hyperlink"/>
            <w:sz w:val="22"/>
            <w:szCs w:val="22"/>
          </w:rPr>
          <w:t xml:space="preserve"> </w:t>
        </w:r>
        <w:r w:rsidRPr="00BC310B">
          <w:rPr>
            <w:rStyle w:val="Hyperlink"/>
            <w:sz w:val="22"/>
            <w:szCs w:val="22"/>
          </w:rPr>
          <w:t>Left Atrial Appendage</w:t>
        </w:r>
        <w:r w:rsidRPr="00BC310B">
          <w:rPr>
            <w:rStyle w:val="Hyperlink"/>
            <w:sz w:val="22"/>
            <w:szCs w:val="22"/>
          </w:rPr>
          <w:t xml:space="preserve"> </w:t>
        </w:r>
        <w:r w:rsidRPr="00BC310B">
          <w:rPr>
            <w:rStyle w:val="Hyperlink"/>
            <w:sz w:val="22"/>
            <w:szCs w:val="22"/>
          </w:rPr>
          <w:t>Closure</w:t>
        </w:r>
      </w:hyperlink>
    </w:p>
    <w:p w14:paraId="17D6BDB4" w14:textId="1F2356B3" w:rsidR="000816DD" w:rsidRPr="00BC310B" w:rsidRDefault="00012020" w:rsidP="00BC310B">
      <w:pPr>
        <w:pStyle w:val="ListParagraph"/>
        <w:numPr>
          <w:ilvl w:val="0"/>
          <w:numId w:val="7"/>
        </w:numPr>
        <w:spacing w:after="120"/>
        <w:rPr>
          <w:color w:val="000000"/>
          <w:sz w:val="22"/>
          <w:szCs w:val="22"/>
        </w:rPr>
      </w:pPr>
      <w:hyperlink r:id="rId9" w:history="1">
        <w:r w:rsidR="00E511A0" w:rsidRPr="00BC310B">
          <w:rPr>
            <w:rStyle w:val="Hyperlink"/>
            <w:sz w:val="22"/>
            <w:szCs w:val="22"/>
          </w:rPr>
          <w:t xml:space="preserve">Assessing Anatomy </w:t>
        </w:r>
        <w:r w:rsidR="00E511A0" w:rsidRPr="00BC310B">
          <w:rPr>
            <w:rStyle w:val="Hyperlink"/>
            <w:sz w:val="22"/>
            <w:szCs w:val="22"/>
          </w:rPr>
          <w:t>f</w:t>
        </w:r>
        <w:r w:rsidR="00E511A0" w:rsidRPr="00BC310B">
          <w:rPr>
            <w:rStyle w:val="Hyperlink"/>
            <w:sz w:val="22"/>
            <w:szCs w:val="22"/>
          </w:rPr>
          <w:t>or Left Atrial Appendage Closure</w:t>
        </w:r>
      </w:hyperlink>
    </w:p>
    <w:p w14:paraId="6A3B7F60" w14:textId="2ED8D6C2" w:rsidR="00EE6823" w:rsidRPr="00BC310B" w:rsidRDefault="00012020" w:rsidP="00BC310B">
      <w:pPr>
        <w:pStyle w:val="ListParagraph"/>
        <w:numPr>
          <w:ilvl w:val="0"/>
          <w:numId w:val="7"/>
        </w:numPr>
        <w:spacing w:after="120"/>
        <w:rPr>
          <w:color w:val="000000"/>
          <w:sz w:val="22"/>
          <w:szCs w:val="22"/>
        </w:rPr>
      </w:pPr>
      <w:hyperlink r:id="rId10" w:history="1">
        <w:r w:rsidR="00EE6823" w:rsidRPr="00BC310B">
          <w:rPr>
            <w:rStyle w:val="Hyperlink"/>
            <w:sz w:val="22"/>
            <w:szCs w:val="22"/>
          </w:rPr>
          <w:t>Left Atrial Appendage Occlusion/Exclusion: Procedural Image Guidance with Transesophageal</w:t>
        </w:r>
        <w:r w:rsidR="00D70500" w:rsidRPr="00BC310B">
          <w:rPr>
            <w:rStyle w:val="Hyperlink"/>
            <w:sz w:val="22"/>
            <w:szCs w:val="22"/>
          </w:rPr>
          <w:t xml:space="preserve"> </w:t>
        </w:r>
        <w:r w:rsidR="00EE6823" w:rsidRPr="00BC310B">
          <w:rPr>
            <w:rStyle w:val="Hyperlink"/>
            <w:sz w:val="22"/>
            <w:szCs w:val="22"/>
          </w:rPr>
          <w:t>Echocardiography</w:t>
        </w:r>
      </w:hyperlink>
    </w:p>
    <w:p w14:paraId="6AD79875" w14:textId="65BFC323" w:rsidR="00D71392" w:rsidRDefault="00D71392">
      <w:pPr>
        <w:pStyle w:val="Heading2"/>
        <w:rPr>
          <w:sz w:val="24"/>
        </w:rPr>
      </w:pPr>
      <w:r>
        <w:rPr>
          <w:sz w:val="24"/>
        </w:rPr>
        <w:lastRenderedPageBreak/>
        <w:t>Limitations of Current Standard</w:t>
      </w:r>
    </w:p>
    <w:p w14:paraId="214BCDBE" w14:textId="6294E75F" w:rsidR="00C437BA" w:rsidRDefault="00E62A47" w:rsidP="00C437BA">
      <w:pPr>
        <w:autoSpaceDE w:val="0"/>
        <w:autoSpaceDN w:val="0"/>
        <w:adjustRightInd w:val="0"/>
        <w:rPr>
          <w:bCs/>
          <w:szCs w:val="24"/>
        </w:rPr>
      </w:pPr>
      <w:r>
        <w:rPr>
          <w:bCs/>
          <w:szCs w:val="24"/>
        </w:rPr>
        <w:t>Except for follow-up imaging, t</w:t>
      </w:r>
      <w:r w:rsidR="00C437BA">
        <w:rPr>
          <w:bCs/>
          <w:szCs w:val="24"/>
        </w:rPr>
        <w:t xml:space="preserve">he existing procedure-specific measurement templates do not include </w:t>
      </w:r>
      <w:r w:rsidR="00B2533B" w:rsidRPr="00B2533B">
        <w:rPr>
          <w:bCs/>
          <w:szCs w:val="24"/>
        </w:rPr>
        <w:t>Left Atrial Appendage Closure</w:t>
      </w:r>
      <w:r w:rsidR="00C437BA">
        <w:rPr>
          <w:bCs/>
          <w:szCs w:val="24"/>
        </w:rPr>
        <w:t xml:space="preserve">. </w:t>
      </w:r>
      <w:bookmarkStart w:id="0" w:name="_Hlk78208103"/>
      <w:r w:rsidR="006D11C4">
        <w:rPr>
          <w:bCs/>
          <w:szCs w:val="24"/>
        </w:rPr>
        <w:t xml:space="preserve">A </w:t>
      </w:r>
      <w:r w:rsidR="00CF04FB">
        <w:rPr>
          <w:color w:val="000000"/>
        </w:rPr>
        <w:t xml:space="preserve">Left Atrial Appendage Closure </w:t>
      </w:r>
      <w:r w:rsidR="00C437BA">
        <w:rPr>
          <w:bCs/>
          <w:szCs w:val="24"/>
        </w:rPr>
        <w:t>template</w:t>
      </w:r>
      <w:bookmarkEnd w:id="0"/>
      <w:r w:rsidR="00C437BA">
        <w:rPr>
          <w:bCs/>
          <w:szCs w:val="24"/>
        </w:rPr>
        <w:t xml:space="preserve"> will ensure that necessary information is present and organization of the information is clear and similar between vendors which</w:t>
      </w:r>
      <w:r w:rsidR="00B05901">
        <w:rPr>
          <w:bCs/>
          <w:szCs w:val="24"/>
        </w:rPr>
        <w:t>,</w:t>
      </w:r>
      <w:r w:rsidR="00C437BA">
        <w:rPr>
          <w:bCs/>
          <w:szCs w:val="24"/>
        </w:rPr>
        <w:t xml:space="preserve"> in turn</w:t>
      </w:r>
      <w:r w:rsidR="00B05901">
        <w:rPr>
          <w:bCs/>
          <w:szCs w:val="24"/>
        </w:rPr>
        <w:t>,</w:t>
      </w:r>
      <w:r w:rsidR="00C437BA">
        <w:rPr>
          <w:bCs/>
          <w:szCs w:val="24"/>
        </w:rPr>
        <w:t xml:space="preserve"> will facilitate </w:t>
      </w:r>
      <w:r w:rsidR="00740C0C">
        <w:rPr>
          <w:bCs/>
          <w:szCs w:val="24"/>
        </w:rPr>
        <w:t>procedure planning and follow-up</w:t>
      </w:r>
      <w:r w:rsidR="00C437BA">
        <w:rPr>
          <w:bCs/>
          <w:szCs w:val="24"/>
        </w:rPr>
        <w:t>.</w:t>
      </w:r>
    </w:p>
    <w:p w14:paraId="7A5CAA28" w14:textId="4FF8B472" w:rsidR="00421C3E" w:rsidRDefault="00421C3E" w:rsidP="00C437BA">
      <w:pPr>
        <w:autoSpaceDE w:val="0"/>
        <w:autoSpaceDN w:val="0"/>
        <w:adjustRightInd w:val="0"/>
        <w:rPr>
          <w:bCs/>
          <w:szCs w:val="24"/>
        </w:rPr>
      </w:pPr>
    </w:p>
    <w:p w14:paraId="132F5342" w14:textId="27AF4327" w:rsidR="00421C3E" w:rsidRDefault="00421C3E" w:rsidP="00C437BA">
      <w:pPr>
        <w:autoSpaceDE w:val="0"/>
        <w:autoSpaceDN w:val="0"/>
        <w:adjustRightInd w:val="0"/>
        <w:rPr>
          <w:bCs/>
          <w:szCs w:val="24"/>
        </w:rPr>
      </w:pPr>
      <w:r>
        <w:rPr>
          <w:bCs/>
          <w:szCs w:val="24"/>
        </w:rPr>
        <w:t xml:space="preserve">Note: </w:t>
      </w:r>
      <w:r w:rsidRPr="00421C3E">
        <w:rPr>
          <w:bCs/>
          <w:szCs w:val="24"/>
        </w:rPr>
        <w:t xml:space="preserve">IHE Cardiology Technical Framework Supplement, Cardiac Procedure Note (CPN) profiles HL7 CDA R2 cardiac procedure notes. This supplement includes a Left Atrial Appendage Occlusion Option, but does not profile specific measurements; this supplement </w:t>
      </w:r>
      <w:r w:rsidR="005C32B5" w:rsidRPr="00421C3E">
        <w:rPr>
          <w:bCs/>
          <w:szCs w:val="24"/>
        </w:rPr>
        <w:t>does,</w:t>
      </w:r>
      <w:r w:rsidRPr="00421C3E">
        <w:rPr>
          <w:bCs/>
          <w:szCs w:val="24"/>
        </w:rPr>
        <w:t xml:space="preserve"> however, include controlled terminology that could be used in the SR template.</w:t>
      </w:r>
    </w:p>
    <w:p w14:paraId="68395733" w14:textId="77777777" w:rsidR="00A37D60" w:rsidRDefault="00D71392" w:rsidP="00A37D60">
      <w:pPr>
        <w:pStyle w:val="Heading2"/>
        <w:spacing w:after="0"/>
        <w:rPr>
          <w:sz w:val="24"/>
        </w:rPr>
      </w:pPr>
      <w:r>
        <w:rPr>
          <w:sz w:val="24"/>
        </w:rPr>
        <w:t>Description of Proposal</w:t>
      </w:r>
    </w:p>
    <w:p w14:paraId="520A1A48" w14:textId="110C3222" w:rsidR="005C7966" w:rsidRDefault="00B05901" w:rsidP="00BC310B">
      <w:pPr>
        <w:pStyle w:val="Heading2"/>
        <w:spacing w:before="0"/>
        <w:rPr>
          <w:rFonts w:ascii="Times New Roman" w:hAnsi="Times New Roman"/>
          <w:b w:val="0"/>
          <w:i w:val="0"/>
          <w:color w:val="000000"/>
          <w:sz w:val="24"/>
        </w:rPr>
      </w:pPr>
      <w:r>
        <w:rPr>
          <w:rFonts w:ascii="Times New Roman" w:hAnsi="Times New Roman"/>
          <w:b w:val="0"/>
          <w:i w:val="0"/>
          <w:color w:val="000000"/>
          <w:sz w:val="24"/>
        </w:rPr>
        <w:t>This supplement will define</w:t>
      </w:r>
      <w:r w:rsidR="00BC310B">
        <w:rPr>
          <w:rFonts w:ascii="Times New Roman" w:hAnsi="Times New Roman"/>
          <w:b w:val="0"/>
          <w:i w:val="0"/>
          <w:color w:val="000000"/>
          <w:sz w:val="24"/>
        </w:rPr>
        <w:t xml:space="preserve"> one or more </w:t>
      </w:r>
      <w:r w:rsidR="00DA0E83" w:rsidRPr="00DA0E83">
        <w:rPr>
          <w:rFonts w:ascii="Times New Roman" w:hAnsi="Times New Roman"/>
          <w:b w:val="0"/>
          <w:i w:val="0"/>
          <w:color w:val="000000"/>
          <w:sz w:val="24"/>
        </w:rPr>
        <w:t xml:space="preserve">Left Atrial Appendage Closure </w:t>
      </w:r>
      <w:r w:rsidR="00D45068">
        <w:rPr>
          <w:rFonts w:ascii="Times New Roman" w:hAnsi="Times New Roman"/>
          <w:b w:val="0"/>
          <w:i w:val="0"/>
          <w:color w:val="000000"/>
          <w:sz w:val="24"/>
        </w:rPr>
        <w:t xml:space="preserve">Measurement </w:t>
      </w:r>
      <w:r w:rsidR="00BC310B">
        <w:rPr>
          <w:rFonts w:ascii="Times New Roman" w:hAnsi="Times New Roman"/>
          <w:b w:val="0"/>
          <w:i w:val="0"/>
          <w:color w:val="000000"/>
          <w:sz w:val="24"/>
        </w:rPr>
        <w:t xml:space="preserve">SR </w:t>
      </w:r>
      <w:r w:rsidR="00DA0E83" w:rsidRPr="00DA0E83">
        <w:rPr>
          <w:rFonts w:ascii="Times New Roman" w:hAnsi="Times New Roman"/>
          <w:b w:val="0"/>
          <w:i w:val="0"/>
          <w:color w:val="000000"/>
          <w:sz w:val="24"/>
        </w:rPr>
        <w:t>template</w:t>
      </w:r>
      <w:r w:rsidR="00D45068">
        <w:rPr>
          <w:rFonts w:ascii="Times New Roman" w:hAnsi="Times New Roman"/>
          <w:b w:val="0"/>
          <w:i w:val="0"/>
          <w:color w:val="000000"/>
          <w:sz w:val="24"/>
        </w:rPr>
        <w:t>s</w:t>
      </w:r>
      <w:r w:rsidR="00BC310B">
        <w:rPr>
          <w:rFonts w:ascii="Times New Roman" w:hAnsi="Times New Roman"/>
          <w:b w:val="0"/>
          <w:i w:val="0"/>
          <w:color w:val="000000"/>
          <w:sz w:val="24"/>
        </w:rPr>
        <w:t xml:space="preserve">. These </w:t>
      </w:r>
      <w:r w:rsidR="00D45068">
        <w:rPr>
          <w:rFonts w:ascii="Times New Roman" w:hAnsi="Times New Roman"/>
          <w:b w:val="0"/>
          <w:i w:val="0"/>
          <w:color w:val="000000"/>
          <w:sz w:val="24"/>
        </w:rPr>
        <w:t xml:space="preserve">templates </w:t>
      </w:r>
      <w:r w:rsidR="00BC310B">
        <w:rPr>
          <w:rFonts w:ascii="Times New Roman" w:hAnsi="Times New Roman"/>
          <w:b w:val="0"/>
          <w:i w:val="0"/>
          <w:color w:val="000000"/>
          <w:sz w:val="24"/>
        </w:rPr>
        <w:t>would likely be r</w:t>
      </w:r>
      <w:r w:rsidR="00A37D60">
        <w:rPr>
          <w:rFonts w:ascii="Times New Roman" w:hAnsi="Times New Roman"/>
          <w:b w:val="0"/>
          <w:i w:val="0"/>
          <w:color w:val="000000"/>
          <w:sz w:val="24"/>
        </w:rPr>
        <w:t>eferenced</w:t>
      </w:r>
      <w:r w:rsidR="00E3630E">
        <w:rPr>
          <w:rFonts w:ascii="Times New Roman" w:hAnsi="Times New Roman"/>
          <w:b w:val="0"/>
          <w:i w:val="0"/>
          <w:color w:val="000000"/>
          <w:sz w:val="24"/>
        </w:rPr>
        <w:t xml:space="preserve"> </w:t>
      </w:r>
      <w:r w:rsidR="00A37D60">
        <w:rPr>
          <w:rFonts w:ascii="Times New Roman" w:hAnsi="Times New Roman"/>
          <w:b w:val="0"/>
          <w:i w:val="0"/>
          <w:color w:val="000000"/>
          <w:sz w:val="24"/>
        </w:rPr>
        <w:t xml:space="preserve">by </w:t>
      </w:r>
      <w:r w:rsidR="00F41DF4" w:rsidRPr="00F41DF4">
        <w:rPr>
          <w:rFonts w:ascii="Times New Roman" w:hAnsi="Times New Roman"/>
          <w:b w:val="0"/>
          <w:i w:val="0"/>
          <w:color w:val="000000"/>
          <w:sz w:val="24"/>
        </w:rPr>
        <w:t>TID 5200 Echocardiography Procedure Report</w:t>
      </w:r>
      <w:r w:rsidR="00E62A47">
        <w:rPr>
          <w:rFonts w:ascii="Times New Roman" w:hAnsi="Times New Roman"/>
          <w:b w:val="0"/>
          <w:i w:val="0"/>
          <w:color w:val="000000"/>
          <w:sz w:val="24"/>
        </w:rPr>
        <w:t xml:space="preserve"> and/or TID 3900 CT/MR Cardiovascular Analysis Report</w:t>
      </w:r>
      <w:r w:rsidR="00BC310B">
        <w:rPr>
          <w:rFonts w:ascii="Times New Roman" w:hAnsi="Times New Roman"/>
          <w:b w:val="0"/>
          <w:i w:val="0"/>
          <w:color w:val="000000"/>
          <w:sz w:val="24"/>
        </w:rPr>
        <w:t xml:space="preserve">. </w:t>
      </w:r>
    </w:p>
    <w:p w14:paraId="61C30B2D" w14:textId="1B26485F" w:rsidR="005C7966" w:rsidRDefault="005C7966" w:rsidP="00BC310B">
      <w:pPr>
        <w:pStyle w:val="Heading2"/>
        <w:spacing w:before="0"/>
        <w:rPr>
          <w:rFonts w:ascii="Times New Roman" w:hAnsi="Times New Roman"/>
          <w:b w:val="0"/>
          <w:i w:val="0"/>
          <w:color w:val="000000"/>
          <w:sz w:val="24"/>
        </w:rPr>
      </w:pPr>
      <w:r>
        <w:rPr>
          <w:rFonts w:ascii="Times New Roman" w:hAnsi="Times New Roman"/>
          <w:b w:val="0"/>
          <w:i w:val="0"/>
          <w:color w:val="000000"/>
          <w:sz w:val="24"/>
        </w:rPr>
        <w:t xml:space="preserve">New terminology will </w:t>
      </w:r>
      <w:r w:rsidR="00D45068">
        <w:rPr>
          <w:rFonts w:ascii="Times New Roman" w:hAnsi="Times New Roman"/>
          <w:b w:val="0"/>
          <w:i w:val="0"/>
          <w:color w:val="000000"/>
          <w:sz w:val="24"/>
        </w:rPr>
        <w:t xml:space="preserve">also </w:t>
      </w:r>
      <w:r>
        <w:rPr>
          <w:rFonts w:ascii="Times New Roman" w:hAnsi="Times New Roman"/>
          <w:b w:val="0"/>
          <w:i w:val="0"/>
          <w:color w:val="000000"/>
          <w:sz w:val="24"/>
        </w:rPr>
        <w:t>be added to express LAA-related scan planes, anatomy and measurements.</w:t>
      </w:r>
    </w:p>
    <w:p w14:paraId="07797776" w14:textId="59E89DDE" w:rsidR="00E62A47" w:rsidRDefault="00E62A47" w:rsidP="00E62A47"/>
    <w:p w14:paraId="208939B3" w14:textId="7A8AE314" w:rsidR="00BC310B" w:rsidRDefault="00F031DD" w:rsidP="00F031DD">
      <w:r>
        <w:t>Other structural heart procedures such as: t</w:t>
      </w:r>
      <w:r w:rsidRPr="00F031DD">
        <w:t>ranscatheter aortic valve replacement (TAVR)</w:t>
      </w:r>
      <w:r>
        <w:t xml:space="preserve">, transcatheter </w:t>
      </w:r>
      <w:r w:rsidR="005C7966">
        <w:t>(</w:t>
      </w:r>
      <w:r>
        <w:t>mitral or pulmonic</w:t>
      </w:r>
      <w:r w:rsidR="005C7966">
        <w:t>)</w:t>
      </w:r>
      <w:r>
        <w:t xml:space="preserve"> valve replacement, and </w:t>
      </w:r>
      <w:r w:rsidRPr="00F031DD">
        <w:t>atrial septal defect (ASD)</w:t>
      </w:r>
      <w:r>
        <w:t xml:space="preserve"> closure</w:t>
      </w:r>
      <w:r w:rsidR="005C7966">
        <w:t xml:space="preserve"> </w:t>
      </w:r>
      <w:r>
        <w:t xml:space="preserve">follow the same </w:t>
      </w:r>
      <w:r w:rsidR="00BC310B">
        <w:t xml:space="preserve">imaging </w:t>
      </w:r>
      <w:r>
        <w:t>pattern as LAAC</w:t>
      </w:r>
      <w:r w:rsidR="00BC310B">
        <w:t xml:space="preserve">, including </w:t>
      </w:r>
      <w:r>
        <w:t>1) p</w:t>
      </w:r>
      <w:r>
        <w:t>re-operative assessment</w:t>
      </w:r>
      <w:r>
        <w:t>, 2) i</w:t>
      </w:r>
      <w:r>
        <w:t>ntraprocedural assessment</w:t>
      </w:r>
      <w:r>
        <w:t xml:space="preserve"> and 3) f</w:t>
      </w:r>
      <w:r>
        <w:t>ollow-up</w:t>
      </w:r>
      <w:r w:rsidR="00BC310B">
        <w:t xml:space="preserve">. This supplement would </w:t>
      </w:r>
      <w:r w:rsidR="005C7966">
        <w:t>accommodate this pattern in order to allow for future CPs to address other structural heart procedures.</w:t>
      </w:r>
    </w:p>
    <w:p w14:paraId="379081D4" w14:textId="77777777" w:rsidR="00D71392" w:rsidRDefault="00D71392">
      <w:pPr>
        <w:pStyle w:val="Heading2"/>
        <w:rPr>
          <w:sz w:val="24"/>
        </w:rPr>
      </w:pPr>
      <w:r>
        <w:rPr>
          <w:sz w:val="24"/>
        </w:rPr>
        <w:t>Parts of Standard Affected</w:t>
      </w:r>
    </w:p>
    <w:p w14:paraId="24F17B9E" w14:textId="4627F8E5" w:rsidR="00D71392" w:rsidRPr="00FA4E85" w:rsidRDefault="00FA4E85" w:rsidP="00FA4E85">
      <w:pPr>
        <w:spacing w:after="120"/>
        <w:rPr>
          <w:color w:val="000000"/>
        </w:rPr>
      </w:pPr>
      <w:r>
        <w:rPr>
          <w:color w:val="000000"/>
        </w:rPr>
        <w:t>This proposal does not</w:t>
      </w:r>
      <w:r w:rsidR="00832F84">
        <w:rPr>
          <w:color w:val="000000"/>
        </w:rPr>
        <w:t xml:space="preserve"> introduce</w:t>
      </w:r>
      <w:r>
        <w:rPr>
          <w:color w:val="000000"/>
        </w:rPr>
        <w:t xml:space="preserve"> </w:t>
      </w:r>
      <w:r w:rsidRPr="00FA4E85">
        <w:rPr>
          <w:color w:val="000000"/>
        </w:rPr>
        <w:t xml:space="preserve">new services, messaging or encoding.  This work item will affect Parts </w:t>
      </w:r>
      <w:r w:rsidR="0085475B">
        <w:rPr>
          <w:color w:val="000000"/>
        </w:rPr>
        <w:t>16</w:t>
      </w:r>
      <w:r w:rsidRPr="00FA4E85">
        <w:rPr>
          <w:color w:val="000000"/>
        </w:rPr>
        <w:t xml:space="preserve"> of the DICOM standard</w:t>
      </w:r>
      <w:r w:rsidR="00EB4E0D">
        <w:rPr>
          <w:color w:val="000000"/>
        </w:rPr>
        <w:t xml:space="preserve"> by adding one or more SR templates and relevant controlled terminology.</w:t>
      </w:r>
    </w:p>
    <w:p w14:paraId="5F201DCF" w14:textId="77777777" w:rsidR="00D71392" w:rsidRDefault="00D71392">
      <w:pPr>
        <w:pStyle w:val="Heading2"/>
        <w:rPr>
          <w:sz w:val="24"/>
        </w:rPr>
      </w:pPr>
      <w:r>
        <w:rPr>
          <w:sz w:val="24"/>
        </w:rPr>
        <w:t>Resources &amp; Time Line</w:t>
      </w:r>
    </w:p>
    <w:p w14:paraId="5DA5637E" w14:textId="29CEAC40" w:rsidR="00D71392" w:rsidRDefault="00646BAD" w:rsidP="00C541B1">
      <w:pPr>
        <w:spacing w:after="120"/>
      </w:pPr>
      <w:r>
        <w:rPr>
          <w:szCs w:val="24"/>
        </w:rPr>
        <w:t xml:space="preserve">This work is expected to be a small number of pages. </w:t>
      </w:r>
      <w:r w:rsidR="00FE306F" w:rsidRPr="00FE306F">
        <w:rPr>
          <w:color w:val="000000"/>
        </w:rPr>
        <w:t>The work and stakeholder outreach will be primarily conducted in WG-</w:t>
      </w:r>
      <w:r w:rsidR="00FE306F">
        <w:rPr>
          <w:color w:val="000000"/>
        </w:rPr>
        <w:t xml:space="preserve">01. </w:t>
      </w:r>
      <w:r w:rsidR="00C541B1">
        <w:rPr>
          <w:color w:val="000000"/>
        </w:rPr>
        <w:t xml:space="preserve">We anticipate that </w:t>
      </w:r>
      <w:r w:rsidR="00C541B1" w:rsidRPr="00C541B1">
        <w:rPr>
          <w:color w:val="000000"/>
        </w:rPr>
        <w:t xml:space="preserve">four hours of Working Group Six meeting time will be required on each of four occasions during </w:t>
      </w:r>
      <w:r w:rsidR="0005634B">
        <w:rPr>
          <w:color w:val="000000"/>
        </w:rPr>
        <w:t xml:space="preserve">in 2022 </w:t>
      </w:r>
      <w:r w:rsidR="00C541B1" w:rsidRPr="00C541B1">
        <w:rPr>
          <w:color w:val="000000"/>
        </w:rPr>
        <w:t>and 20</w:t>
      </w:r>
      <w:r w:rsidR="00C541B1">
        <w:rPr>
          <w:color w:val="000000"/>
        </w:rPr>
        <w:t>2</w:t>
      </w:r>
      <w:r w:rsidR="0005634B">
        <w:rPr>
          <w:color w:val="000000"/>
        </w:rPr>
        <w:t>3</w:t>
      </w:r>
      <w:r w:rsidR="00C541B1" w:rsidRPr="00C541B1">
        <w:rPr>
          <w:color w:val="000000"/>
        </w:rPr>
        <w:t xml:space="preserve"> to review and approve an early draft as well as public comment, letter ballot, and final text versions of the supplement.</w:t>
      </w:r>
    </w:p>
    <w:sectPr w:rsidR="00D7139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4EDA"/>
    <w:multiLevelType w:val="hybridMultilevel"/>
    <w:tmpl w:val="7422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D62B5"/>
    <w:multiLevelType w:val="hybridMultilevel"/>
    <w:tmpl w:val="FECA34F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21707AAA"/>
    <w:multiLevelType w:val="hybridMultilevel"/>
    <w:tmpl w:val="5EAA1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202AC2"/>
    <w:multiLevelType w:val="singleLevel"/>
    <w:tmpl w:val="0CC64DA8"/>
    <w:lvl w:ilvl="0">
      <w:numFmt w:val="bullet"/>
      <w:lvlText w:val="-"/>
      <w:lvlJc w:val="left"/>
      <w:pPr>
        <w:tabs>
          <w:tab w:val="num" w:pos="360"/>
        </w:tabs>
        <w:ind w:left="360" w:hanging="360"/>
      </w:pPr>
      <w:rPr>
        <w:rFonts w:hint="default"/>
      </w:rPr>
    </w:lvl>
  </w:abstractNum>
  <w:abstractNum w:abstractNumId="4" w15:restartNumberingAfterBreak="0">
    <w:nsid w:val="34E029F9"/>
    <w:multiLevelType w:val="multilevel"/>
    <w:tmpl w:val="BE9265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B237757"/>
    <w:multiLevelType w:val="hybridMultilevel"/>
    <w:tmpl w:val="29FE72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F0A5D"/>
    <w:multiLevelType w:val="hybridMultilevel"/>
    <w:tmpl w:val="8996C9AE"/>
    <w:lvl w:ilvl="0" w:tplc="A7641732">
      <w:start w:val="1"/>
      <w:numFmt w:val="decimal"/>
      <w:lvlText w:val="%1."/>
      <w:lvlJc w:val="left"/>
      <w:pPr>
        <w:tabs>
          <w:tab w:val="num" w:pos="360"/>
        </w:tabs>
        <w:ind w:left="360" w:hanging="360"/>
      </w:pPr>
    </w:lvl>
    <w:lvl w:ilvl="1" w:tplc="2E2EE684" w:tentative="1">
      <w:start w:val="1"/>
      <w:numFmt w:val="lowerLetter"/>
      <w:lvlText w:val="%2."/>
      <w:lvlJc w:val="left"/>
      <w:pPr>
        <w:tabs>
          <w:tab w:val="num" w:pos="1440"/>
        </w:tabs>
        <w:ind w:left="1440" w:hanging="360"/>
      </w:pPr>
    </w:lvl>
    <w:lvl w:ilvl="2" w:tplc="1AD4A3AA" w:tentative="1">
      <w:start w:val="1"/>
      <w:numFmt w:val="lowerRoman"/>
      <w:lvlText w:val="%3."/>
      <w:lvlJc w:val="right"/>
      <w:pPr>
        <w:tabs>
          <w:tab w:val="num" w:pos="2160"/>
        </w:tabs>
        <w:ind w:left="2160" w:hanging="180"/>
      </w:pPr>
    </w:lvl>
    <w:lvl w:ilvl="3" w:tplc="3912CCC0" w:tentative="1">
      <w:start w:val="1"/>
      <w:numFmt w:val="decimal"/>
      <w:lvlText w:val="%4."/>
      <w:lvlJc w:val="left"/>
      <w:pPr>
        <w:tabs>
          <w:tab w:val="num" w:pos="2880"/>
        </w:tabs>
        <w:ind w:left="2880" w:hanging="360"/>
      </w:pPr>
    </w:lvl>
    <w:lvl w:ilvl="4" w:tplc="79FE93DA" w:tentative="1">
      <w:start w:val="1"/>
      <w:numFmt w:val="lowerLetter"/>
      <w:lvlText w:val="%5."/>
      <w:lvlJc w:val="left"/>
      <w:pPr>
        <w:tabs>
          <w:tab w:val="num" w:pos="3600"/>
        </w:tabs>
        <w:ind w:left="3600" w:hanging="360"/>
      </w:pPr>
    </w:lvl>
    <w:lvl w:ilvl="5" w:tplc="853CB28A" w:tentative="1">
      <w:start w:val="1"/>
      <w:numFmt w:val="lowerRoman"/>
      <w:lvlText w:val="%6."/>
      <w:lvlJc w:val="right"/>
      <w:pPr>
        <w:tabs>
          <w:tab w:val="num" w:pos="4320"/>
        </w:tabs>
        <w:ind w:left="4320" w:hanging="180"/>
      </w:pPr>
    </w:lvl>
    <w:lvl w:ilvl="6" w:tplc="107821CE" w:tentative="1">
      <w:start w:val="1"/>
      <w:numFmt w:val="decimal"/>
      <w:lvlText w:val="%7."/>
      <w:lvlJc w:val="left"/>
      <w:pPr>
        <w:tabs>
          <w:tab w:val="num" w:pos="5040"/>
        </w:tabs>
        <w:ind w:left="5040" w:hanging="360"/>
      </w:pPr>
    </w:lvl>
    <w:lvl w:ilvl="7" w:tplc="1F426E24" w:tentative="1">
      <w:start w:val="1"/>
      <w:numFmt w:val="lowerLetter"/>
      <w:lvlText w:val="%8."/>
      <w:lvlJc w:val="left"/>
      <w:pPr>
        <w:tabs>
          <w:tab w:val="num" w:pos="5760"/>
        </w:tabs>
        <w:ind w:left="5760" w:hanging="360"/>
      </w:pPr>
    </w:lvl>
    <w:lvl w:ilvl="8" w:tplc="CD2A55A0" w:tentative="1">
      <w:start w:val="1"/>
      <w:numFmt w:val="lowerRoman"/>
      <w:lvlText w:val="%9."/>
      <w:lvlJc w:val="right"/>
      <w:pPr>
        <w:tabs>
          <w:tab w:val="num" w:pos="6480"/>
        </w:tabs>
        <w:ind w:left="6480" w:hanging="180"/>
      </w:pPr>
    </w:lvl>
  </w:abstractNum>
  <w:abstractNum w:abstractNumId="7" w15:restartNumberingAfterBreak="0">
    <w:nsid w:val="6E662035"/>
    <w:multiLevelType w:val="hybridMultilevel"/>
    <w:tmpl w:val="8AF2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36"/>
    <w:rsid w:val="00012020"/>
    <w:rsid w:val="0005634B"/>
    <w:rsid w:val="00060BCD"/>
    <w:rsid w:val="0006664C"/>
    <w:rsid w:val="000816DD"/>
    <w:rsid w:val="00082557"/>
    <w:rsid w:val="00084112"/>
    <w:rsid w:val="000960C5"/>
    <w:rsid w:val="000D1EEF"/>
    <w:rsid w:val="000D7078"/>
    <w:rsid w:val="000E4B59"/>
    <w:rsid w:val="00117DBE"/>
    <w:rsid w:val="001252C8"/>
    <w:rsid w:val="0013066C"/>
    <w:rsid w:val="001519B8"/>
    <w:rsid w:val="00152EC5"/>
    <w:rsid w:val="00162B3B"/>
    <w:rsid w:val="00213F00"/>
    <w:rsid w:val="00270CD6"/>
    <w:rsid w:val="00300A0D"/>
    <w:rsid w:val="003124D1"/>
    <w:rsid w:val="00321FCB"/>
    <w:rsid w:val="003336AE"/>
    <w:rsid w:val="0039248C"/>
    <w:rsid w:val="003A5EE8"/>
    <w:rsid w:val="003B745B"/>
    <w:rsid w:val="003C5B5E"/>
    <w:rsid w:val="003F51B0"/>
    <w:rsid w:val="00421C3E"/>
    <w:rsid w:val="00455C34"/>
    <w:rsid w:val="00493DE7"/>
    <w:rsid w:val="004C658B"/>
    <w:rsid w:val="004D16C3"/>
    <w:rsid w:val="004E4247"/>
    <w:rsid w:val="004F5D20"/>
    <w:rsid w:val="0051409B"/>
    <w:rsid w:val="00523B96"/>
    <w:rsid w:val="00540128"/>
    <w:rsid w:val="00541BDA"/>
    <w:rsid w:val="00546F12"/>
    <w:rsid w:val="005535C7"/>
    <w:rsid w:val="00553A7A"/>
    <w:rsid w:val="00553DFC"/>
    <w:rsid w:val="00566216"/>
    <w:rsid w:val="00576B00"/>
    <w:rsid w:val="005A3533"/>
    <w:rsid w:val="005C32B5"/>
    <w:rsid w:val="005C7966"/>
    <w:rsid w:val="005D3B38"/>
    <w:rsid w:val="00631334"/>
    <w:rsid w:val="00646BAD"/>
    <w:rsid w:val="006540FA"/>
    <w:rsid w:val="00660946"/>
    <w:rsid w:val="00666ECF"/>
    <w:rsid w:val="006703A7"/>
    <w:rsid w:val="0068543B"/>
    <w:rsid w:val="006B53DC"/>
    <w:rsid w:val="006C5E13"/>
    <w:rsid w:val="006D11C4"/>
    <w:rsid w:val="007063B6"/>
    <w:rsid w:val="00740C0C"/>
    <w:rsid w:val="00741741"/>
    <w:rsid w:val="00816C75"/>
    <w:rsid w:val="00824080"/>
    <w:rsid w:val="00832F84"/>
    <w:rsid w:val="0084207E"/>
    <w:rsid w:val="00853A09"/>
    <w:rsid w:val="0085475B"/>
    <w:rsid w:val="008739C7"/>
    <w:rsid w:val="00873BAA"/>
    <w:rsid w:val="00893926"/>
    <w:rsid w:val="00895CCC"/>
    <w:rsid w:val="008B7B7E"/>
    <w:rsid w:val="00915AE8"/>
    <w:rsid w:val="009373BC"/>
    <w:rsid w:val="009B1D03"/>
    <w:rsid w:val="009B752D"/>
    <w:rsid w:val="009C2CFA"/>
    <w:rsid w:val="009D40B0"/>
    <w:rsid w:val="009F4252"/>
    <w:rsid w:val="00A27B89"/>
    <w:rsid w:val="00A37D60"/>
    <w:rsid w:val="00A46E83"/>
    <w:rsid w:val="00A56CCB"/>
    <w:rsid w:val="00AC411E"/>
    <w:rsid w:val="00B05901"/>
    <w:rsid w:val="00B2533B"/>
    <w:rsid w:val="00B27907"/>
    <w:rsid w:val="00B51357"/>
    <w:rsid w:val="00B51526"/>
    <w:rsid w:val="00B61CE7"/>
    <w:rsid w:val="00B67FDD"/>
    <w:rsid w:val="00BB48A5"/>
    <w:rsid w:val="00BC310B"/>
    <w:rsid w:val="00C30541"/>
    <w:rsid w:val="00C30A6C"/>
    <w:rsid w:val="00C437BA"/>
    <w:rsid w:val="00C541B1"/>
    <w:rsid w:val="00C80A6B"/>
    <w:rsid w:val="00CB7D4B"/>
    <w:rsid w:val="00CF04FB"/>
    <w:rsid w:val="00D03DFA"/>
    <w:rsid w:val="00D05FCE"/>
    <w:rsid w:val="00D45068"/>
    <w:rsid w:val="00D514B8"/>
    <w:rsid w:val="00D53840"/>
    <w:rsid w:val="00D57C6A"/>
    <w:rsid w:val="00D70500"/>
    <w:rsid w:val="00D709D4"/>
    <w:rsid w:val="00D71392"/>
    <w:rsid w:val="00D97BC1"/>
    <w:rsid w:val="00D97D36"/>
    <w:rsid w:val="00DA0E83"/>
    <w:rsid w:val="00DE0CE5"/>
    <w:rsid w:val="00E021FE"/>
    <w:rsid w:val="00E3630E"/>
    <w:rsid w:val="00E511A0"/>
    <w:rsid w:val="00E62A47"/>
    <w:rsid w:val="00E62AD9"/>
    <w:rsid w:val="00E7033B"/>
    <w:rsid w:val="00E876B2"/>
    <w:rsid w:val="00EB4E0D"/>
    <w:rsid w:val="00ED520D"/>
    <w:rsid w:val="00ED6960"/>
    <w:rsid w:val="00EE005F"/>
    <w:rsid w:val="00EE6823"/>
    <w:rsid w:val="00F031DD"/>
    <w:rsid w:val="00F41DF4"/>
    <w:rsid w:val="00F70C12"/>
    <w:rsid w:val="00FA3D01"/>
    <w:rsid w:val="00FA4E85"/>
    <w:rsid w:val="00FC374A"/>
    <w:rsid w:val="00FE0C9E"/>
    <w:rsid w:val="00FE306F"/>
    <w:rsid w:val="00FF26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D7D05"/>
  <w15:chartTrackingRefBased/>
  <w15:docId w15:val="{66ED049D-40EC-4BD9-9DEA-1E903582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FCE"/>
    <w:rPr>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link w:val="Heading2Char"/>
    <w:qFormat/>
    <w:pPr>
      <w:keepNext/>
      <w:spacing w:before="240" w:after="60"/>
      <w:outlineLvl w:val="1"/>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line="240" w:lineRule="atLeast"/>
    </w:pPr>
    <w:rPr>
      <w:color w:val="00000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D97D36"/>
    <w:rPr>
      <w:rFonts w:ascii="Tahoma" w:hAnsi="Tahoma" w:cs="Tahoma"/>
      <w:sz w:val="16"/>
      <w:szCs w:val="16"/>
    </w:rPr>
  </w:style>
  <w:style w:type="character" w:customStyle="1" w:styleId="Heading2Char">
    <w:name w:val="Heading 2 Char"/>
    <w:link w:val="Heading2"/>
    <w:rsid w:val="0051409B"/>
    <w:rPr>
      <w:rFonts w:ascii="Arial" w:hAnsi="Arial"/>
      <w:b/>
      <w:i/>
      <w:sz w:val="28"/>
    </w:rPr>
  </w:style>
  <w:style w:type="paragraph" w:styleId="BodyText2">
    <w:name w:val="Body Text 2"/>
    <w:basedOn w:val="Normal"/>
    <w:link w:val="BodyText2Char"/>
    <w:rsid w:val="005535C7"/>
    <w:pPr>
      <w:spacing w:after="120" w:line="480" w:lineRule="auto"/>
    </w:pPr>
  </w:style>
  <w:style w:type="character" w:customStyle="1" w:styleId="BodyText2Char">
    <w:name w:val="Body Text 2 Char"/>
    <w:basedOn w:val="DefaultParagraphFont"/>
    <w:link w:val="BodyText2"/>
    <w:rsid w:val="005535C7"/>
    <w:rPr>
      <w:sz w:val="24"/>
    </w:rPr>
  </w:style>
  <w:style w:type="character" w:styleId="CommentReference">
    <w:name w:val="annotation reference"/>
    <w:basedOn w:val="DefaultParagraphFont"/>
    <w:rsid w:val="00832F84"/>
    <w:rPr>
      <w:sz w:val="16"/>
      <w:szCs w:val="16"/>
    </w:rPr>
  </w:style>
  <w:style w:type="paragraph" w:styleId="CommentText">
    <w:name w:val="annotation text"/>
    <w:basedOn w:val="Normal"/>
    <w:link w:val="CommentTextChar"/>
    <w:rsid w:val="00832F84"/>
    <w:rPr>
      <w:sz w:val="20"/>
    </w:rPr>
  </w:style>
  <w:style w:type="character" w:customStyle="1" w:styleId="CommentTextChar">
    <w:name w:val="Comment Text Char"/>
    <w:basedOn w:val="DefaultParagraphFont"/>
    <w:link w:val="CommentText"/>
    <w:rsid w:val="00832F84"/>
  </w:style>
  <w:style w:type="paragraph" w:styleId="CommentSubject">
    <w:name w:val="annotation subject"/>
    <w:basedOn w:val="CommentText"/>
    <w:next w:val="CommentText"/>
    <w:link w:val="CommentSubjectChar"/>
    <w:rsid w:val="00832F84"/>
    <w:rPr>
      <w:b/>
      <w:bCs/>
    </w:rPr>
  </w:style>
  <w:style w:type="character" w:customStyle="1" w:styleId="CommentSubjectChar">
    <w:name w:val="Comment Subject Char"/>
    <w:basedOn w:val="CommentTextChar"/>
    <w:link w:val="CommentSubject"/>
    <w:rsid w:val="00832F84"/>
    <w:rPr>
      <w:b/>
      <w:bCs/>
    </w:rPr>
  </w:style>
  <w:style w:type="character" w:styleId="UnresolvedMention">
    <w:name w:val="Unresolved Mention"/>
    <w:basedOn w:val="DefaultParagraphFont"/>
    <w:uiPriority w:val="99"/>
    <w:semiHidden/>
    <w:unhideWhenUsed/>
    <w:rsid w:val="000816DD"/>
    <w:rPr>
      <w:color w:val="605E5C"/>
      <w:shd w:val="clear" w:color="auto" w:fill="E1DFDD"/>
    </w:rPr>
  </w:style>
  <w:style w:type="paragraph" w:styleId="ListParagraph">
    <w:name w:val="List Paragraph"/>
    <w:basedOn w:val="Normal"/>
    <w:uiPriority w:val="34"/>
    <w:qFormat/>
    <w:rsid w:val="00B61CE7"/>
    <w:pPr>
      <w:ind w:left="720"/>
      <w:contextualSpacing/>
    </w:pPr>
  </w:style>
  <w:style w:type="paragraph" w:styleId="NormalWeb">
    <w:name w:val="Normal (Web)"/>
    <w:basedOn w:val="Normal"/>
    <w:uiPriority w:val="99"/>
    <w:unhideWhenUsed/>
    <w:rsid w:val="00ED520D"/>
    <w:pPr>
      <w:spacing w:before="100" w:beforeAutospacing="1" w:after="100" w:afterAutospacing="1"/>
    </w:pPr>
    <w:rPr>
      <w:szCs w:val="24"/>
    </w:rPr>
  </w:style>
  <w:style w:type="table" w:styleId="TableGrid">
    <w:name w:val="Table Grid"/>
    <w:basedOn w:val="TableNormal"/>
    <w:rsid w:val="00FF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4131">
      <w:bodyDiv w:val="1"/>
      <w:marLeft w:val="0"/>
      <w:marRight w:val="0"/>
      <w:marTop w:val="0"/>
      <w:marBottom w:val="0"/>
      <w:divBdr>
        <w:top w:val="none" w:sz="0" w:space="0" w:color="auto"/>
        <w:left w:val="none" w:sz="0" w:space="0" w:color="auto"/>
        <w:bottom w:val="none" w:sz="0" w:space="0" w:color="auto"/>
        <w:right w:val="none" w:sz="0" w:space="0" w:color="auto"/>
      </w:divBdr>
    </w:div>
    <w:div w:id="645206070">
      <w:bodyDiv w:val="1"/>
      <w:marLeft w:val="0"/>
      <w:marRight w:val="0"/>
      <w:marTop w:val="0"/>
      <w:marBottom w:val="0"/>
      <w:divBdr>
        <w:top w:val="none" w:sz="0" w:space="0" w:color="auto"/>
        <w:left w:val="none" w:sz="0" w:space="0" w:color="auto"/>
        <w:bottom w:val="none" w:sz="0" w:space="0" w:color="auto"/>
        <w:right w:val="none" w:sz="0" w:space="0" w:color="auto"/>
      </w:divBdr>
    </w:div>
    <w:div w:id="738137813">
      <w:bodyDiv w:val="1"/>
      <w:marLeft w:val="45"/>
      <w:marRight w:val="45"/>
      <w:marTop w:val="45"/>
      <w:marBottom w:val="45"/>
      <w:divBdr>
        <w:top w:val="none" w:sz="0" w:space="0" w:color="auto"/>
        <w:left w:val="none" w:sz="0" w:space="0" w:color="auto"/>
        <w:bottom w:val="none" w:sz="0" w:space="0" w:color="auto"/>
        <w:right w:val="none" w:sz="0" w:space="0" w:color="auto"/>
      </w:divBdr>
      <w:divsChild>
        <w:div w:id="648167199">
          <w:marLeft w:val="0"/>
          <w:marRight w:val="0"/>
          <w:marTop w:val="0"/>
          <w:marBottom w:val="75"/>
          <w:divBdr>
            <w:top w:val="none" w:sz="0" w:space="0" w:color="auto"/>
            <w:left w:val="none" w:sz="0" w:space="0" w:color="auto"/>
            <w:bottom w:val="none" w:sz="0" w:space="0" w:color="auto"/>
            <w:right w:val="none" w:sz="0" w:space="0" w:color="auto"/>
          </w:divBdr>
        </w:div>
      </w:divsChild>
    </w:div>
    <w:div w:id="151140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cep.2019.11.00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secho.org/wp-content/uploads/2018/05/JASE-_-Vainrib.pdf" TargetMode="External"/><Relationship Id="rId4" Type="http://schemas.openxmlformats.org/officeDocument/2006/relationships/numbering" Target="numbering.xml"/><Relationship Id="rId9" Type="http://schemas.openxmlformats.org/officeDocument/2006/relationships/hyperlink" Target="https://citoday.com/articles/2017-may-june/assessing-anatomy-for-left-atrial-appendage-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B08A24BF07DA4D84C4DAE7E8DA25C9" ma:contentTypeVersion="12" ma:contentTypeDescription="Create a new document." ma:contentTypeScope="" ma:versionID="4fd66eead4bb6e0d16dcc5928ffc2b99">
  <xsd:schema xmlns:xsd="http://www.w3.org/2001/XMLSchema" xmlns:xs="http://www.w3.org/2001/XMLSchema" xmlns:p="http://schemas.microsoft.com/office/2006/metadata/properties" xmlns:ns2="08e62e2e-62f1-4b88-8cf1-432aab3aa58f" xmlns:ns3="486c1cc4-0cc5-42a3-a01e-b9e025673abc" targetNamespace="http://schemas.microsoft.com/office/2006/metadata/properties" ma:root="true" ma:fieldsID="a5e14a0131c40d6ae1e3f9d8864b2f5f" ns2:_="" ns3:_="">
    <xsd:import namespace="08e62e2e-62f1-4b88-8cf1-432aab3aa58f"/>
    <xsd:import namespace="486c1cc4-0cc5-42a3-a01e-b9e025673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62e2e-62f1-4b88-8cf1-432aab3aa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c1cc4-0cc5-42a3-a01e-b9e025673a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98D59-F9E8-426A-AD99-2D9187A20F22}">
  <ds:schemaRefs>
    <ds:schemaRef ds:uri="http://schemas.microsoft.com/sharepoint/v3/contenttype/forms"/>
  </ds:schemaRefs>
</ds:datastoreItem>
</file>

<file path=customXml/itemProps2.xml><?xml version="1.0" encoding="utf-8"?>
<ds:datastoreItem xmlns:ds="http://schemas.openxmlformats.org/officeDocument/2006/customXml" ds:itemID="{0412E24A-7689-4DBE-8E95-1FC487E85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62e2e-62f1-4b88-8cf1-432aab3aa58f"/>
    <ds:schemaRef ds:uri="486c1cc4-0cc5-42a3-a01e-b9e025673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E2E8D-2A70-4C2D-A89E-84AA4CDC4D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Work Item Proposal for Rewrite of PS 3</vt:lpstr>
    </vt:vector>
  </TitlesOfParts>
  <Company>Siemens</Company>
  <LinksUpToDate>false</LinksUpToDate>
  <CharactersWithSpaces>4513</CharactersWithSpaces>
  <SharedDoc>false</SharedDoc>
  <HLinks>
    <vt:vector size="6" baseType="variant">
      <vt:variant>
        <vt:i4>3080304</vt:i4>
      </vt:variant>
      <vt:variant>
        <vt:i4>0</vt:i4>
      </vt:variant>
      <vt:variant>
        <vt:i4>0</vt:i4>
      </vt:variant>
      <vt:variant>
        <vt:i4>5</vt:i4>
      </vt:variant>
      <vt:variant>
        <vt:lpwstr>http://medical.nema.org/dicom/handbook/Documents/Supplements/How_to_Prepare_a_Supplement.doc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Item Proposal for Rewrite of PS 3</dc:title>
  <dc:subject/>
  <dc:creator>Siemens</dc:creator>
  <cp:keywords/>
  <cp:lastModifiedBy>Nichols, Steven (GE Healthcare)</cp:lastModifiedBy>
  <cp:revision>2</cp:revision>
  <cp:lastPrinted>2004-08-31T18:23:00Z</cp:lastPrinted>
  <dcterms:created xsi:type="dcterms:W3CDTF">2022-04-13T21:19:00Z</dcterms:created>
  <dcterms:modified xsi:type="dcterms:W3CDTF">2022-04-13T21:19:00Z</dcterms:modified>
</cp:coreProperties>
</file>