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05670" w14:textId="1AAB5720" w:rsidR="00D71392" w:rsidRPr="000E3380" w:rsidRDefault="000E3380">
      <w:pPr>
        <w:pStyle w:val="Heading1"/>
        <w:jc w:val="center"/>
      </w:pPr>
      <w:r w:rsidRPr="000E3380">
        <w:t>DICOMweb</w:t>
      </w:r>
      <w:r w:rsidR="00273659">
        <w:t xml:space="preserve"> M</w:t>
      </w:r>
      <w:r w:rsidR="009E4C53">
        <w:t>odality</w:t>
      </w:r>
      <w:r w:rsidR="00273659">
        <w:t xml:space="preserve"> Services</w:t>
      </w:r>
    </w:p>
    <w:p w14:paraId="05D0FB0E" w14:textId="77777777" w:rsidR="00D71392" w:rsidRDefault="00D71392"/>
    <w:p w14:paraId="3D3BFEEF" w14:textId="0BE8DCEC" w:rsidR="00D71392" w:rsidRPr="00A64515" w:rsidRDefault="00D71392">
      <w:pPr>
        <w:pStyle w:val="Heading2"/>
        <w:jc w:val="center"/>
      </w:pPr>
      <w:r w:rsidRPr="00A64515">
        <w:t xml:space="preserve">SUBMITTED BY </w:t>
      </w:r>
      <w:r w:rsidR="002B641A" w:rsidRPr="00A64515">
        <w:t>Dieter Krotz/</w:t>
      </w:r>
      <w:r w:rsidR="000E3380" w:rsidRPr="00A64515">
        <w:t>Jeroen Medema</w:t>
      </w:r>
    </w:p>
    <w:p w14:paraId="1576FE05" w14:textId="77777777" w:rsidR="00D71392" w:rsidRPr="00A64515" w:rsidRDefault="00D71392"/>
    <w:p w14:paraId="10FBBE8A" w14:textId="3E002023" w:rsidR="00D71392" w:rsidRDefault="00D71392">
      <w:pPr>
        <w:pStyle w:val="Heading2"/>
        <w:jc w:val="center"/>
        <w:rPr>
          <w:rFonts w:ascii="Times New Roman" w:hAnsi="Times New Roman"/>
          <w:sz w:val="24"/>
        </w:rPr>
      </w:pPr>
      <w:r>
        <w:t xml:space="preserve">On Behalf of Working Group </w:t>
      </w:r>
      <w:r w:rsidR="000E3380">
        <w:t>WG27</w:t>
      </w:r>
    </w:p>
    <w:p w14:paraId="607B5C1B" w14:textId="565A20CD" w:rsidR="00D71392" w:rsidRDefault="00D71392">
      <w:pPr>
        <w:jc w:val="center"/>
      </w:pPr>
      <w:r>
        <w:t>(</w:t>
      </w:r>
      <w:r w:rsidR="000E3380" w:rsidRPr="000E3380">
        <w:t>Web Services for DICOM</w:t>
      </w:r>
      <w:r>
        <w:t>)</w:t>
      </w:r>
    </w:p>
    <w:p w14:paraId="77896041" w14:textId="77777777" w:rsidR="00D71392" w:rsidRDefault="00D71392">
      <w:pPr>
        <w:pStyle w:val="Heading2"/>
        <w:rPr>
          <w:sz w:val="24"/>
        </w:rPr>
      </w:pPr>
      <w:r>
        <w:rPr>
          <w:sz w:val="24"/>
        </w:rPr>
        <w:t>Introduction/Scope</w:t>
      </w:r>
    </w:p>
    <w:p w14:paraId="068D0C21" w14:textId="196D4CF5" w:rsidR="00273659" w:rsidRPr="00273659" w:rsidRDefault="00273659" w:rsidP="00273659">
      <w:r>
        <w:t xml:space="preserve">The </w:t>
      </w:r>
      <w:r w:rsidR="00C467E9">
        <w:t xml:space="preserve">DICOM Standard defines </w:t>
      </w:r>
      <w:r w:rsidR="000D3FB5">
        <w:t>several</w:t>
      </w:r>
      <w:r w:rsidR="00C467E9">
        <w:t xml:space="preserve"> services. Two of these are </w:t>
      </w:r>
      <w:r w:rsidR="000D3FB5">
        <w:t xml:space="preserve">targeted towards </w:t>
      </w:r>
      <w:r w:rsidR="00C467E9">
        <w:t xml:space="preserve">modalities, namely the Modality Worklist service (see </w:t>
      </w:r>
      <w:hyperlink r:id="rId8" w:anchor="chapter_K" w:history="1">
        <w:r w:rsidR="00C467E9" w:rsidRPr="00C467E9">
          <w:rPr>
            <w:rStyle w:val="Hyperlink"/>
          </w:rPr>
          <w:t>PS3.4, Annex K</w:t>
        </w:r>
      </w:hyperlink>
      <w:r w:rsidR="00C467E9">
        <w:t xml:space="preserve">, more specifically </w:t>
      </w:r>
      <w:hyperlink r:id="rId9" w:anchor="sect_K.6.1" w:history="1">
        <w:r w:rsidR="00C467E9" w:rsidRPr="00C467E9">
          <w:rPr>
            <w:rStyle w:val="Hyperlink"/>
          </w:rPr>
          <w:t>K.6.1</w:t>
        </w:r>
      </w:hyperlink>
      <w:r w:rsidR="00C467E9">
        <w:t xml:space="preserve">) and the Modality Performed Procedure Step service (see </w:t>
      </w:r>
      <w:hyperlink r:id="rId10" w:anchor="chapter_F" w:history="1">
        <w:r w:rsidR="00C467E9" w:rsidRPr="00697E8F">
          <w:rPr>
            <w:rStyle w:val="Hyperlink"/>
          </w:rPr>
          <w:t xml:space="preserve">PS3.4, </w:t>
        </w:r>
        <w:r w:rsidR="00697E8F" w:rsidRPr="00697E8F">
          <w:rPr>
            <w:rStyle w:val="Hyperlink"/>
          </w:rPr>
          <w:t>Annex F</w:t>
        </w:r>
      </w:hyperlink>
      <w:r w:rsidR="00697E8F">
        <w:t xml:space="preserve">, more specifically </w:t>
      </w:r>
      <w:hyperlink r:id="rId11" w:anchor="sect_F.7" w:history="1">
        <w:r w:rsidR="00697E8F" w:rsidRPr="002B641A">
          <w:rPr>
            <w:rStyle w:val="Hyperlink"/>
          </w:rPr>
          <w:t>F.7-F.9</w:t>
        </w:r>
      </w:hyperlink>
      <w:r w:rsidR="00C467E9">
        <w:t>).</w:t>
      </w:r>
      <w:r w:rsidR="00697E8F">
        <w:t xml:space="preserve"> Currently, these services are defined using DIMSE.</w:t>
      </w:r>
    </w:p>
    <w:p w14:paraId="09D717F1" w14:textId="35D9AF40" w:rsidR="00D71392" w:rsidRDefault="00D71392" w:rsidP="000E3380">
      <w:pPr>
        <w:pStyle w:val="Heading2"/>
        <w:rPr>
          <w:sz w:val="24"/>
        </w:rPr>
      </w:pPr>
      <w:r>
        <w:rPr>
          <w:sz w:val="24"/>
        </w:rPr>
        <w:t>Limitations of Current Standard</w:t>
      </w:r>
    </w:p>
    <w:p w14:paraId="74FC329C" w14:textId="6CEB8FF0" w:rsidR="0004630E" w:rsidRDefault="00B518D5" w:rsidP="000E3380">
      <w:pPr>
        <w:spacing w:after="120"/>
        <w:rPr>
          <w:color w:val="000000"/>
        </w:rPr>
      </w:pPr>
      <w:r>
        <w:rPr>
          <w:color w:val="000000"/>
        </w:rPr>
        <w:t xml:space="preserve">Both the Modality Worklist </w:t>
      </w:r>
      <w:r w:rsidR="000D3FB5">
        <w:rPr>
          <w:color w:val="000000"/>
        </w:rPr>
        <w:t xml:space="preserve">service </w:t>
      </w:r>
      <w:r>
        <w:rPr>
          <w:color w:val="000000"/>
        </w:rPr>
        <w:t xml:space="preserve">and the Modality Performed Procedure Step service are not yet available in DICOMweb. This </w:t>
      </w:r>
      <w:r w:rsidR="00697E8F">
        <w:rPr>
          <w:color w:val="000000"/>
        </w:rPr>
        <w:t xml:space="preserve">limits </w:t>
      </w:r>
      <w:r w:rsidR="00043840">
        <w:rPr>
          <w:color w:val="000000"/>
        </w:rPr>
        <w:t xml:space="preserve">a) </w:t>
      </w:r>
      <w:r w:rsidR="00697E8F">
        <w:rPr>
          <w:color w:val="000000"/>
        </w:rPr>
        <w:t xml:space="preserve">the </w:t>
      </w:r>
      <w:r w:rsidR="00C467E9">
        <w:rPr>
          <w:color w:val="000000"/>
        </w:rPr>
        <w:t xml:space="preserve">uptake </w:t>
      </w:r>
      <w:r>
        <w:rPr>
          <w:color w:val="000000"/>
        </w:rPr>
        <w:t>of DICOMweb for modalities</w:t>
      </w:r>
      <w:r w:rsidR="000D3FB5">
        <w:rPr>
          <w:color w:val="000000"/>
        </w:rPr>
        <w:t xml:space="preserve"> and </w:t>
      </w:r>
      <w:r w:rsidR="00043840">
        <w:rPr>
          <w:color w:val="000000"/>
        </w:rPr>
        <w:t xml:space="preserve">b) the </w:t>
      </w:r>
      <w:r w:rsidR="000D3FB5">
        <w:rPr>
          <w:color w:val="000000"/>
        </w:rPr>
        <w:t xml:space="preserve">support of workflow </w:t>
      </w:r>
      <w:r w:rsidR="00043840">
        <w:rPr>
          <w:color w:val="000000"/>
        </w:rPr>
        <w:t xml:space="preserve">services </w:t>
      </w:r>
      <w:r w:rsidR="000D3FB5">
        <w:rPr>
          <w:color w:val="000000"/>
        </w:rPr>
        <w:t xml:space="preserve">for modalities </w:t>
      </w:r>
      <w:r w:rsidR="00043840">
        <w:rPr>
          <w:color w:val="000000"/>
        </w:rPr>
        <w:t>that are (</w:t>
      </w:r>
      <w:r w:rsidR="00254CDA">
        <w:rPr>
          <w:color w:val="000000"/>
        </w:rPr>
        <w:t>intended</w:t>
      </w:r>
      <w:r w:rsidR="00043840">
        <w:rPr>
          <w:color w:val="000000"/>
        </w:rPr>
        <w:t xml:space="preserve"> to be) part of</w:t>
      </w:r>
      <w:r w:rsidR="000D3FB5">
        <w:rPr>
          <w:color w:val="000000"/>
        </w:rPr>
        <w:t xml:space="preserve"> a web-based </w:t>
      </w:r>
      <w:r w:rsidR="00043840">
        <w:rPr>
          <w:color w:val="000000"/>
        </w:rPr>
        <w:t>ecosystem</w:t>
      </w:r>
      <w:r>
        <w:rPr>
          <w:color w:val="000000"/>
        </w:rPr>
        <w:t>.</w:t>
      </w:r>
    </w:p>
    <w:p w14:paraId="473F3B76" w14:textId="77777777" w:rsidR="00D71392" w:rsidRDefault="00D71392">
      <w:pPr>
        <w:pStyle w:val="Heading2"/>
        <w:rPr>
          <w:sz w:val="24"/>
        </w:rPr>
      </w:pPr>
      <w:r>
        <w:rPr>
          <w:sz w:val="24"/>
        </w:rPr>
        <w:t>Description of Proposal</w:t>
      </w:r>
    </w:p>
    <w:p w14:paraId="1F66F9BA" w14:textId="6319A8FB" w:rsidR="00BE2700" w:rsidRDefault="00B518D5" w:rsidP="000E3380">
      <w:pPr>
        <w:spacing w:after="120"/>
        <w:rPr>
          <w:color w:val="000000"/>
        </w:rPr>
      </w:pPr>
      <w:r>
        <w:rPr>
          <w:color w:val="000000"/>
        </w:rPr>
        <w:t xml:space="preserve">Add </w:t>
      </w:r>
      <w:r w:rsidR="00C467E9">
        <w:rPr>
          <w:color w:val="000000"/>
        </w:rPr>
        <w:t>the Modality Worklist and the Modality Performed Procedure Step services to DICOMweb</w:t>
      </w:r>
      <w:r w:rsidR="00A64515">
        <w:rPr>
          <w:color w:val="000000"/>
        </w:rPr>
        <w:t xml:space="preserve">, in principle based on the existing </w:t>
      </w:r>
      <w:r w:rsidR="000D3FB5">
        <w:rPr>
          <w:color w:val="000000"/>
        </w:rPr>
        <w:t>DICOMweb Worklist service (</w:t>
      </w:r>
      <w:r w:rsidR="00A64515">
        <w:rPr>
          <w:color w:val="000000"/>
        </w:rPr>
        <w:t xml:space="preserve">UPS-RS; </w:t>
      </w:r>
      <w:r w:rsidR="000D3FB5">
        <w:rPr>
          <w:color w:val="000000"/>
        </w:rPr>
        <w:t xml:space="preserve">see </w:t>
      </w:r>
      <w:hyperlink r:id="rId12" w:anchor="chapter_11" w:history="1">
        <w:r w:rsidR="000D3FB5" w:rsidRPr="005E3865">
          <w:rPr>
            <w:rStyle w:val="Hyperlink"/>
          </w:rPr>
          <w:t>PS3.18, section 11</w:t>
        </w:r>
      </w:hyperlink>
      <w:r w:rsidR="000D3FB5">
        <w:rPr>
          <w:color w:val="000000"/>
        </w:rPr>
        <w:t>)</w:t>
      </w:r>
      <w:r w:rsidR="005E3865">
        <w:rPr>
          <w:color w:val="000000"/>
        </w:rPr>
        <w:t>.</w:t>
      </w:r>
      <w:r w:rsidR="00EE3873">
        <w:rPr>
          <w:color w:val="000000"/>
        </w:rPr>
        <w:t xml:space="preserve"> This would boil down to </w:t>
      </w:r>
      <w:r w:rsidR="00EE3873" w:rsidRPr="00EE3873">
        <w:rPr>
          <w:color w:val="000000"/>
        </w:rPr>
        <w:t>creat</w:t>
      </w:r>
      <w:r w:rsidR="00EE3873">
        <w:rPr>
          <w:color w:val="000000"/>
        </w:rPr>
        <w:t>ing</w:t>
      </w:r>
      <w:r w:rsidR="00EE3873" w:rsidRPr="00EE3873">
        <w:rPr>
          <w:color w:val="000000"/>
        </w:rPr>
        <w:t xml:space="preserve"> an informative annex and any normative changes needed if gaps </w:t>
      </w:r>
      <w:r w:rsidR="00EE3873">
        <w:rPr>
          <w:color w:val="000000"/>
        </w:rPr>
        <w:t xml:space="preserve">are </w:t>
      </w:r>
      <w:r w:rsidR="00EE3873" w:rsidRPr="00EE3873">
        <w:rPr>
          <w:color w:val="000000"/>
        </w:rPr>
        <w:t>discovered</w:t>
      </w:r>
      <w:r w:rsidR="00EE3873">
        <w:rPr>
          <w:color w:val="000000"/>
        </w:rPr>
        <w:t>.</w:t>
      </w:r>
    </w:p>
    <w:p w14:paraId="5B0A0CD3" w14:textId="77777777" w:rsidR="00BE2700" w:rsidRDefault="00A64515" w:rsidP="000E3380">
      <w:pPr>
        <w:spacing w:after="120"/>
        <w:rPr>
          <w:color w:val="000000"/>
        </w:rPr>
      </w:pPr>
      <w:r>
        <w:rPr>
          <w:color w:val="000000"/>
        </w:rPr>
        <w:t xml:space="preserve">In this, </w:t>
      </w:r>
      <w:r w:rsidR="00BE2700">
        <w:rPr>
          <w:color w:val="000000"/>
        </w:rPr>
        <w:t xml:space="preserve">the mapping of MWL to UPS-RS in </w:t>
      </w:r>
      <w:r>
        <w:rPr>
          <w:color w:val="000000"/>
        </w:rPr>
        <w:t xml:space="preserve">IHE’s Encounter Based Imaging Workflow </w:t>
      </w:r>
      <w:r w:rsidR="00BE2700">
        <w:rPr>
          <w:color w:val="000000"/>
        </w:rPr>
        <w:t xml:space="preserve">profile </w:t>
      </w:r>
      <w:r>
        <w:rPr>
          <w:color w:val="000000"/>
        </w:rPr>
        <w:t xml:space="preserve">is </w:t>
      </w:r>
      <w:r w:rsidR="00BE2700">
        <w:rPr>
          <w:color w:val="000000"/>
        </w:rPr>
        <w:t xml:space="preserve">considered </w:t>
      </w:r>
      <w:r>
        <w:rPr>
          <w:color w:val="000000"/>
        </w:rPr>
        <w:t xml:space="preserve">a </w:t>
      </w:r>
      <w:r w:rsidR="00BE2700">
        <w:rPr>
          <w:color w:val="000000"/>
        </w:rPr>
        <w:t xml:space="preserve">good </w:t>
      </w:r>
      <w:r>
        <w:rPr>
          <w:color w:val="000000"/>
        </w:rPr>
        <w:t xml:space="preserve">start for </w:t>
      </w:r>
      <w:r w:rsidR="00BE2700">
        <w:rPr>
          <w:color w:val="000000"/>
        </w:rPr>
        <w:t xml:space="preserve">the DICOMweb </w:t>
      </w:r>
      <w:r>
        <w:rPr>
          <w:color w:val="000000"/>
        </w:rPr>
        <w:t>Modality Worklist</w:t>
      </w:r>
      <w:r w:rsidR="00BE2700">
        <w:rPr>
          <w:color w:val="000000"/>
        </w:rPr>
        <w:t xml:space="preserve"> service</w:t>
      </w:r>
      <w:r>
        <w:rPr>
          <w:color w:val="000000"/>
        </w:rPr>
        <w:t>.</w:t>
      </w:r>
    </w:p>
    <w:p w14:paraId="42CE773A" w14:textId="775A3757" w:rsidR="000E3380" w:rsidRDefault="00A64515" w:rsidP="000E3380">
      <w:pPr>
        <w:spacing w:after="120"/>
        <w:rPr>
          <w:color w:val="000000"/>
        </w:rPr>
      </w:pPr>
      <w:r>
        <w:rPr>
          <w:color w:val="000000"/>
        </w:rPr>
        <w:t xml:space="preserve">Also </w:t>
      </w:r>
      <w:r w:rsidR="002B641A">
        <w:rPr>
          <w:color w:val="000000"/>
        </w:rPr>
        <w:t xml:space="preserve">note that the activities in WG20 on the Imaging Service Request Profile Implementation Guide will be </w:t>
      </w:r>
      <w:proofErr w:type="gramStart"/>
      <w:r w:rsidR="002B641A">
        <w:rPr>
          <w:color w:val="000000"/>
        </w:rPr>
        <w:t>taken into account</w:t>
      </w:r>
      <w:proofErr w:type="gramEnd"/>
      <w:r w:rsidR="002B641A">
        <w:rPr>
          <w:color w:val="000000"/>
        </w:rPr>
        <w:t>.</w:t>
      </w:r>
    </w:p>
    <w:p w14:paraId="208066AC" w14:textId="77777777" w:rsidR="00D71392" w:rsidRDefault="00D71392">
      <w:pPr>
        <w:pStyle w:val="Heading2"/>
        <w:rPr>
          <w:sz w:val="24"/>
        </w:rPr>
      </w:pPr>
      <w:r>
        <w:rPr>
          <w:sz w:val="24"/>
        </w:rPr>
        <w:t>Parts of Standard Affected</w:t>
      </w:r>
    </w:p>
    <w:p w14:paraId="1ACF1C8E" w14:textId="399F96AD" w:rsidR="00D71392" w:rsidRPr="004E7BE9" w:rsidRDefault="00254CDA">
      <w:pPr>
        <w:spacing w:after="120"/>
      </w:pPr>
      <w:r>
        <w:t>It is expected that t</w:t>
      </w:r>
      <w:r w:rsidR="00D71392" w:rsidRPr="004E7BE9">
        <w:t>his work item affect</w:t>
      </w:r>
      <w:r>
        <w:t>s</w:t>
      </w:r>
      <w:r w:rsidR="00D71392" w:rsidRPr="004E7BE9">
        <w:t xml:space="preserve"> Parts </w:t>
      </w:r>
      <w:r w:rsidR="004E7BE9" w:rsidRPr="004E7BE9">
        <w:t>2</w:t>
      </w:r>
      <w:r>
        <w:t>, 6</w:t>
      </w:r>
      <w:r w:rsidR="00723805">
        <w:t>, 17</w:t>
      </w:r>
      <w:r w:rsidR="004E7BE9" w:rsidRPr="004E7BE9">
        <w:t xml:space="preserve"> and 18 </w:t>
      </w:r>
      <w:r w:rsidR="00D71392" w:rsidRPr="004E7BE9">
        <w:t>of the DICOM standard.</w:t>
      </w:r>
    </w:p>
    <w:p w14:paraId="16873A3F" w14:textId="458B898B" w:rsidR="00D71392" w:rsidRDefault="00D71392">
      <w:pPr>
        <w:pStyle w:val="Heading2"/>
        <w:rPr>
          <w:sz w:val="24"/>
        </w:rPr>
      </w:pPr>
      <w:r>
        <w:rPr>
          <w:sz w:val="24"/>
        </w:rPr>
        <w:t xml:space="preserve">Resources &amp; </w:t>
      </w:r>
      <w:r w:rsidR="00531067">
        <w:rPr>
          <w:sz w:val="24"/>
        </w:rPr>
        <w:t>Timeline</w:t>
      </w:r>
    </w:p>
    <w:p w14:paraId="1BD5B2D3" w14:textId="45E114CC" w:rsidR="00D71392" w:rsidRPr="00531067" w:rsidRDefault="00D71392">
      <w:pPr>
        <w:spacing w:after="120"/>
      </w:pPr>
      <w:r w:rsidRPr="00531067">
        <w:t xml:space="preserve">About </w:t>
      </w:r>
      <w:r w:rsidR="00627752">
        <w:t>12</w:t>
      </w:r>
      <w:r w:rsidRPr="00531067">
        <w:t xml:space="preserve"> people are active in Working Group </w:t>
      </w:r>
      <w:r w:rsidR="00531067" w:rsidRPr="00531067">
        <w:t>27</w:t>
      </w:r>
      <w:r w:rsidRPr="00531067">
        <w:t xml:space="preserve">. </w:t>
      </w:r>
      <w:r w:rsidR="00627752">
        <w:t xml:space="preserve">Dieter Krotz </w:t>
      </w:r>
      <w:r w:rsidR="00191017">
        <w:t xml:space="preserve">from </w:t>
      </w:r>
      <w:r w:rsidR="00627752">
        <w:t xml:space="preserve">Siemens </w:t>
      </w:r>
      <w:r w:rsidR="002B641A">
        <w:t xml:space="preserve">and </w:t>
      </w:r>
      <w:r w:rsidR="002B641A" w:rsidRPr="00531067">
        <w:t xml:space="preserve">Jeroen Medema from Philips </w:t>
      </w:r>
      <w:r w:rsidRPr="00531067">
        <w:t>ha</w:t>
      </w:r>
      <w:r w:rsidR="00627752">
        <w:t>ve</w:t>
      </w:r>
      <w:r w:rsidRPr="00531067">
        <w:t xml:space="preserve"> volunteered to work on writing this supplement. It is estimated that </w:t>
      </w:r>
      <w:r w:rsidR="00531067" w:rsidRPr="00531067">
        <w:t xml:space="preserve">this </w:t>
      </w:r>
      <w:r w:rsidRPr="00531067">
        <w:t xml:space="preserve">work will take </w:t>
      </w:r>
      <w:r w:rsidR="00697E8F">
        <w:t xml:space="preserve">several </w:t>
      </w:r>
      <w:r w:rsidRPr="00531067">
        <w:t xml:space="preserve">months. A first draft </w:t>
      </w:r>
      <w:r w:rsidR="0008109A">
        <w:t>should</w:t>
      </w:r>
      <w:r w:rsidRPr="00531067">
        <w:t xml:space="preserve"> be available by </w:t>
      </w:r>
      <w:r w:rsidR="002B641A">
        <w:t>April 2024</w:t>
      </w:r>
      <w:r w:rsidRPr="00531067">
        <w:t>.</w:t>
      </w:r>
    </w:p>
    <w:p w14:paraId="60055562" w14:textId="5D1E2EAD" w:rsidR="00D71392" w:rsidRPr="00C467E9" w:rsidRDefault="00D71392">
      <w:pPr>
        <w:rPr>
          <w:color w:val="0000FF"/>
        </w:rPr>
      </w:pPr>
      <w:r w:rsidRPr="00531067">
        <w:t>Members of WG</w:t>
      </w:r>
      <w:r w:rsidR="004E7BE9" w:rsidRPr="00531067">
        <w:t>27</w:t>
      </w:r>
      <w:r w:rsidRPr="00531067">
        <w:t xml:space="preserve"> anticipate that </w:t>
      </w:r>
      <w:r w:rsidR="0008109A">
        <w:t xml:space="preserve">two to </w:t>
      </w:r>
      <w:r w:rsidR="00186C15">
        <w:t>four</w:t>
      </w:r>
      <w:r w:rsidR="004E7BE9" w:rsidRPr="00531067">
        <w:t xml:space="preserve"> </w:t>
      </w:r>
      <w:r w:rsidRPr="00531067">
        <w:t xml:space="preserve">hours of Working Group Six meeting time will be required on </w:t>
      </w:r>
      <w:r w:rsidR="004E7BE9" w:rsidRPr="00531067">
        <w:t xml:space="preserve">four </w:t>
      </w:r>
      <w:r w:rsidRPr="00531067">
        <w:t xml:space="preserve">occasions during </w:t>
      </w:r>
      <w:r w:rsidR="004E7BE9" w:rsidRPr="00531067">
        <w:t>202</w:t>
      </w:r>
      <w:r w:rsidR="00C467E9">
        <w:t>4</w:t>
      </w:r>
      <w:r w:rsidR="002B641A">
        <w:t>/2025</w:t>
      </w:r>
      <w:r w:rsidR="004E7BE9" w:rsidRPr="00531067">
        <w:t xml:space="preserve"> </w:t>
      </w:r>
      <w:r w:rsidRPr="00531067">
        <w:t>to review and approve an early draft as well as public comment, letter ballot, and final text versions of the supplement.</w:t>
      </w:r>
    </w:p>
    <w:sectPr w:rsidR="00D71392" w:rsidRPr="00C467E9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6EE53" w14:textId="77777777" w:rsidR="00FA65DD" w:rsidRDefault="00FA65DD" w:rsidP="0008109A">
      <w:r>
        <w:separator/>
      </w:r>
    </w:p>
  </w:endnote>
  <w:endnote w:type="continuationSeparator" w:id="0">
    <w:p w14:paraId="6A181451" w14:textId="77777777" w:rsidR="00FA65DD" w:rsidRDefault="00FA65DD" w:rsidP="0008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E5017" w14:textId="77777777" w:rsidR="00FA65DD" w:rsidRDefault="00FA65DD" w:rsidP="0008109A">
      <w:r>
        <w:separator/>
      </w:r>
    </w:p>
  </w:footnote>
  <w:footnote w:type="continuationSeparator" w:id="0">
    <w:p w14:paraId="19527F9B" w14:textId="77777777" w:rsidR="00FA65DD" w:rsidRDefault="00FA65DD" w:rsidP="0008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02AC2"/>
    <w:multiLevelType w:val="singleLevel"/>
    <w:tmpl w:val="0CC64D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4E029F9"/>
    <w:multiLevelType w:val="multilevel"/>
    <w:tmpl w:val="BE926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7F0A5D"/>
    <w:multiLevelType w:val="hybridMultilevel"/>
    <w:tmpl w:val="8996C9AE"/>
    <w:lvl w:ilvl="0" w:tplc="DDA8F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6ED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32BE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4C8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B4DB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9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A63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DCD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1884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0121673">
    <w:abstractNumId w:val="2"/>
  </w:num>
  <w:num w:numId="2" w16cid:durableId="1551840409">
    <w:abstractNumId w:val="0"/>
  </w:num>
  <w:num w:numId="3" w16cid:durableId="1765415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36"/>
    <w:rsid w:val="00043840"/>
    <w:rsid w:val="0004630E"/>
    <w:rsid w:val="00053ABF"/>
    <w:rsid w:val="0008109A"/>
    <w:rsid w:val="000D3FB5"/>
    <w:rsid w:val="000E3380"/>
    <w:rsid w:val="001677CB"/>
    <w:rsid w:val="001679EE"/>
    <w:rsid w:val="00186C15"/>
    <w:rsid w:val="00191017"/>
    <w:rsid w:val="001B43A9"/>
    <w:rsid w:val="0024350F"/>
    <w:rsid w:val="0024637F"/>
    <w:rsid w:val="00254CDA"/>
    <w:rsid w:val="00273659"/>
    <w:rsid w:val="002B641A"/>
    <w:rsid w:val="002F3D6B"/>
    <w:rsid w:val="00300A0D"/>
    <w:rsid w:val="003C3B0F"/>
    <w:rsid w:val="004E7BE9"/>
    <w:rsid w:val="004F4311"/>
    <w:rsid w:val="00506AA2"/>
    <w:rsid w:val="00531067"/>
    <w:rsid w:val="005E3865"/>
    <w:rsid w:val="00627752"/>
    <w:rsid w:val="006540FA"/>
    <w:rsid w:val="00697E8F"/>
    <w:rsid w:val="00723805"/>
    <w:rsid w:val="008E388C"/>
    <w:rsid w:val="009412D9"/>
    <w:rsid w:val="009E09DD"/>
    <w:rsid w:val="009E4C53"/>
    <w:rsid w:val="00A26E06"/>
    <w:rsid w:val="00A64515"/>
    <w:rsid w:val="00AC411E"/>
    <w:rsid w:val="00B518D5"/>
    <w:rsid w:val="00BD2AC0"/>
    <w:rsid w:val="00BE2700"/>
    <w:rsid w:val="00C261A3"/>
    <w:rsid w:val="00C467E9"/>
    <w:rsid w:val="00D20E89"/>
    <w:rsid w:val="00D71392"/>
    <w:rsid w:val="00D97D36"/>
    <w:rsid w:val="00EE005F"/>
    <w:rsid w:val="00EE3873"/>
    <w:rsid w:val="00F40A94"/>
    <w:rsid w:val="00FA65DD"/>
    <w:rsid w:val="00F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D80E9"/>
  <w15:chartTrackingRefBased/>
  <w15:docId w15:val="{D84B4E16-96FC-4B69-B499-3AA65901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  <w:spacing w:line="240" w:lineRule="atLeast"/>
    </w:pPr>
    <w:rPr>
      <w:color w:val="00000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D97D3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08109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08109A"/>
  </w:style>
  <w:style w:type="character" w:styleId="FootnoteReference">
    <w:name w:val="footnote reference"/>
    <w:basedOn w:val="DefaultParagraphFont"/>
    <w:rsid w:val="0008109A"/>
    <w:rPr>
      <w:vertAlign w:val="superscript"/>
    </w:rPr>
  </w:style>
  <w:style w:type="paragraph" w:styleId="Header">
    <w:name w:val="header"/>
    <w:basedOn w:val="Normal"/>
    <w:link w:val="HeaderChar"/>
    <w:rsid w:val="0008109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8109A"/>
    <w:rPr>
      <w:sz w:val="24"/>
    </w:rPr>
  </w:style>
  <w:style w:type="paragraph" w:styleId="Footer">
    <w:name w:val="footer"/>
    <w:basedOn w:val="Normal"/>
    <w:link w:val="FooterChar"/>
    <w:rsid w:val="0008109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8109A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467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45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om.nema.org/medical/dicom/current/output/html/part04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com.nema.org/medical/dicom/current/output/html/part1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com.nema.org/medical/dicom/current/output/html/part0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com.nema.org/medical/dicom/current/output/html/part0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om.nema.org/medical/dicom/current/output/html/part0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D5B41-FD93-426A-9CA5-DCCF6755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Work Item Proposal</vt:lpstr>
    </vt:vector>
  </TitlesOfParts>
  <Company>Philips</Company>
  <LinksUpToDate>false</LinksUpToDate>
  <CharactersWithSpaces>2540</CharactersWithSpaces>
  <SharedDoc>false</SharedDoc>
  <HLinks>
    <vt:vector size="6" baseType="variant">
      <vt:variant>
        <vt:i4>3080304</vt:i4>
      </vt:variant>
      <vt:variant>
        <vt:i4>0</vt:i4>
      </vt:variant>
      <vt:variant>
        <vt:i4>0</vt:i4>
      </vt:variant>
      <vt:variant>
        <vt:i4>5</vt:i4>
      </vt:variant>
      <vt:variant>
        <vt:lpwstr>http://medical.nema.org/dicom/handbook/Documents/Supplements/How_to_Prepare_a_Supplement.doc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Work Item Proposal</dc:title>
  <dc:subject>Storage Commitment in DICOMweb</dc:subject>
  <dc:creator>Jeroen Medema</dc:creator>
  <cp:keywords/>
  <cp:lastModifiedBy>Hull, Carolyn</cp:lastModifiedBy>
  <cp:revision>2</cp:revision>
  <cp:lastPrinted>2004-08-31T11:23:00Z</cp:lastPrinted>
  <dcterms:created xsi:type="dcterms:W3CDTF">2023-10-20T16:23:00Z</dcterms:created>
  <dcterms:modified xsi:type="dcterms:W3CDTF">2023-10-20T16:23:00Z</dcterms:modified>
</cp:coreProperties>
</file>